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/>
        <w:jc w:val="center"/>
      </w:pPr>
      <w:r>
        <w:rPr>
          <w:rFonts w:ascii="Times New Roman" w:hAnsi="Times New Roman" w:eastAsia="黑体"/>
          <w:b/>
          <w:color w:val="0F2440"/>
          <w:sz w:val="40"/>
        </w:rPr>
        <w:t>恒通文化 v5 · 标题口号新旧对照表</w:t>
      </w:r>
    </w:p>
    <w:p>
      <w:pPr>
        <w:spacing w:before="0" w:after="240"/>
        <w:jc w:val="center"/>
      </w:pPr>
      <w:r>
        <w:rPr>
          <w:rFonts w:ascii="Times New Roman" w:hAnsi="Times New Roman" w:eastAsia="宋体"/>
          <w:b w:val="0"/>
          <w:color w:val="666666"/>
          <w:sz w:val="25"/>
        </w:rPr>
        <w:t>每条文言正句皆可查书——白话原句留作下注，出处随附。</w:t>
      </w:r>
    </w:p>
    <w:p>
      <w:pPr>
        <w:spacing w:before="280" w:after="160"/>
      </w:pPr>
      <w:r>
        <w:rPr>
          <w:rFonts w:ascii="Times New Roman" w:hAnsi="Times New Roman" w:eastAsia="黑体"/>
          <w:b/>
          <w:color w:val="0F2440"/>
          <w:sz w:val="34"/>
        </w:rPr>
        <w:t>一、口号（文化墙 · 文言正句＋白话注＋出处）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35"/>
            <w:shd w:fill="0F2440"/>
          </w:tcPr>
          <w:p>
            <w:r/>
            <w:r>
              <w:rPr>
                <w:rFonts w:ascii="Times New Roman" w:hAnsi="Times New Roman" w:eastAsia="黑体"/>
                <w:b/>
                <w:color w:val="FFFFFF"/>
                <w:sz w:val="26"/>
              </w:rPr>
              <w:t>白话原句</w:t>
            </w:r>
          </w:p>
        </w:tc>
        <w:tc>
          <w:tcPr>
            <w:tcW w:type="dxa" w:w="3118"/>
            <w:shd w:fill="0F2440"/>
          </w:tcPr>
          <w:p>
            <w:r/>
            <w:r>
              <w:rPr>
                <w:rFonts w:ascii="Times New Roman" w:hAnsi="Times New Roman" w:eastAsia="黑体"/>
                <w:b/>
                <w:color w:val="FFFFFF"/>
                <w:sz w:val="26"/>
              </w:rPr>
              <w:t>文言正句</w:t>
            </w:r>
          </w:p>
        </w:tc>
        <w:tc>
          <w:tcPr>
            <w:tcW w:type="dxa" w:w="3118"/>
            <w:shd w:fill="0F2440"/>
          </w:tcPr>
          <w:p>
            <w:r/>
            <w:r>
              <w:rPr>
                <w:rFonts w:ascii="Times New Roman" w:hAnsi="Times New Roman" w:eastAsia="黑体"/>
                <w:b/>
                <w:color w:val="FFFFFF"/>
                <w:sz w:val="26"/>
              </w:rPr>
              <w:t>出处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事没成，局成了</w:t>
            </w:r>
          </w:p>
        </w:tc>
        <w:tc>
          <w:tcPr>
            <w:tcW w:type="dxa" w:w="3118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失之东隅，收之桑榆</w:t>
            </w:r>
          </w:p>
        </w:tc>
        <w:tc>
          <w:tcPr>
            <w:tcW w:type="dxa" w:w="3118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《后汉书·冯异传》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以恒为根，以通为路</w:t>
            </w:r>
          </w:p>
        </w:tc>
        <w:tc>
          <w:tcPr>
            <w:tcW w:type="dxa" w:w="3118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恒，久也；通则久</w:t>
            </w:r>
          </w:p>
        </w:tc>
        <w:tc>
          <w:tcPr>
            <w:tcW w:type="dxa" w:w="3118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《周易》恒卦·系辞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经得起回头再看</w:t>
            </w:r>
          </w:p>
        </w:tc>
        <w:tc>
          <w:tcPr>
            <w:tcW w:type="dxa" w:w="3118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仰不愧天，俯不怍人</w:t>
            </w:r>
          </w:p>
        </w:tc>
        <w:tc>
          <w:tcPr>
            <w:tcW w:type="dxa" w:w="3118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《孟子·尽心上》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一路顺风，全部通了</w:t>
            </w:r>
          </w:p>
        </w:tc>
        <w:tc>
          <w:tcPr>
            <w:tcW w:type="dxa" w:w="3118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无往不利，万事俱通</w:t>
            </w:r>
          </w:p>
        </w:tc>
        <w:tc>
          <w:tcPr>
            <w:tcW w:type="dxa" w:w="3118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《周易》"无不利"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门面是成本，本事是投资</w:t>
            </w:r>
          </w:p>
        </w:tc>
        <w:tc>
          <w:tcPr>
            <w:tcW w:type="dxa" w:w="3118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义以为质，本立道生</w:t>
            </w:r>
          </w:p>
        </w:tc>
        <w:tc>
          <w:tcPr>
            <w:tcW w:type="dxa" w:w="3118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《论语》卫灵公·学而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说破了无毒</w:t>
            </w:r>
          </w:p>
        </w:tc>
        <w:tc>
          <w:tcPr>
            <w:tcW w:type="dxa" w:w="3118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直道而行</w:t>
            </w:r>
          </w:p>
        </w:tc>
        <w:tc>
          <w:tcPr>
            <w:tcW w:type="dxa" w:w="3118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《论语·卫灵公》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不做最聪明的公司，做跑到最后的公司</w:t>
            </w:r>
          </w:p>
        </w:tc>
        <w:tc>
          <w:tcPr>
            <w:tcW w:type="dxa" w:w="3118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大巧若拙，宁静致远</w:t>
            </w:r>
          </w:p>
        </w:tc>
        <w:tc>
          <w:tcPr>
            <w:tcW w:type="dxa" w:w="3118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《道德经》《诫子书》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不做最大的黑马，做跑到最后的白马</w:t>
            </w:r>
          </w:p>
        </w:tc>
        <w:tc>
          <w:tcPr>
            <w:tcW w:type="dxa" w:w="3118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后其身而身先</w:t>
            </w:r>
          </w:p>
        </w:tc>
        <w:tc>
          <w:tcPr>
            <w:tcW w:type="dxa" w:w="3118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《道德经》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把西部的风，变成西部的饭碗</w:t>
            </w:r>
          </w:p>
        </w:tc>
        <w:tc>
          <w:tcPr>
            <w:tcW w:type="dxa" w:w="3118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风行天上，自求口实</w:t>
            </w:r>
          </w:p>
        </w:tc>
        <w:tc>
          <w:tcPr>
            <w:tcW w:type="dxa" w:w="3118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《周易》小畜·颐卦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账实求真，资金守底</w:t>
            </w:r>
          </w:p>
        </w:tc>
        <w:tc>
          <w:tcPr>
            <w:tcW w:type="dxa" w:w="3118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修辞立诚，谨权审量</w:t>
            </w:r>
          </w:p>
        </w:tc>
        <w:tc>
          <w:tcPr>
            <w:tcW w:type="dxa" w:w="3118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《周易·文言》《论语·尧曰》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有力出力，谁都不藏</w:t>
            </w:r>
          </w:p>
        </w:tc>
        <w:tc>
          <w:tcPr>
            <w:tcW w:type="dxa" w:w="3118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有力助人，有道教人</w:t>
            </w:r>
          </w:p>
        </w:tc>
        <w:tc>
          <w:tcPr>
            <w:tcW w:type="dxa" w:w="3118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《墨子·尚贤下》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讨论可以随和，拍板必须有主</w:t>
            </w:r>
          </w:p>
        </w:tc>
        <w:tc>
          <w:tcPr>
            <w:tcW w:type="dxa" w:w="3118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谋及众，断于独</w:t>
            </w:r>
          </w:p>
        </w:tc>
        <w:tc>
          <w:tcPr>
            <w:tcW w:type="dxa" w:w="3118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《尚书·洪范》《史记》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立不易方，通则久</w:t>
            </w:r>
          </w:p>
        </w:tc>
        <w:tc>
          <w:tcPr>
            <w:tcW w:type="dxa" w:w="3118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君子以立不易方；通则久</w:t>
            </w:r>
          </w:p>
        </w:tc>
        <w:tc>
          <w:tcPr>
            <w:tcW w:type="dxa" w:w="3118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《周易》恒卦·系辞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天行健，自强不息</w:t>
            </w:r>
          </w:p>
        </w:tc>
        <w:tc>
          <w:tcPr>
            <w:tcW w:type="dxa" w:w="3118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天行健，君子以自强不息</w:t>
            </w:r>
          </w:p>
        </w:tc>
        <w:tc>
          <w:tcPr>
            <w:tcW w:type="dxa" w:w="3118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《周易·乾卦》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和而不同</w:t>
            </w:r>
          </w:p>
        </w:tc>
        <w:tc>
          <w:tcPr>
            <w:tcW w:type="dxa" w:w="3118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君子和而不同</w:t>
            </w:r>
          </w:p>
        </w:tc>
        <w:tc>
          <w:tcPr>
            <w:tcW w:type="dxa" w:w="3118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《论语·子路》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人有不为也，而后可以有为</w:t>
            </w:r>
          </w:p>
        </w:tc>
        <w:tc>
          <w:tcPr>
            <w:tcW w:type="dxa" w:w="3118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人有不为也，而后可以有为</w:t>
            </w:r>
          </w:p>
        </w:tc>
        <w:tc>
          <w:tcPr>
            <w:tcW w:type="dxa" w:w="3118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《孟子·离娄下》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戒欺</w:t>
            </w:r>
          </w:p>
        </w:tc>
        <w:tc>
          <w:tcPr>
            <w:tcW w:type="dxa" w:w="3118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戒欺</w:t>
            </w:r>
          </w:p>
        </w:tc>
        <w:tc>
          <w:tcPr>
            <w:tcW w:type="dxa" w:w="3118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恒通戒碑（取胡庆余堂遗意）</w:t>
            </w:r>
          </w:p>
        </w:tc>
      </w:tr>
    </w:tbl>
    <w:p>
      <w:pPr>
        <w:spacing w:after="40"/>
      </w:pPr>
    </w:p>
    <w:p>
      <w:pPr>
        <w:spacing w:before="280" w:after="160"/>
      </w:pPr>
      <w:r>
        <w:rPr>
          <w:rFonts w:ascii="Times New Roman" w:hAnsi="Times New Roman" w:eastAsia="黑体"/>
          <w:b/>
          <w:color w:val="0F2440"/>
          <w:sz w:val="34"/>
        </w:rPr>
        <w:t>二、书稿节题（新旧对照）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3118"/>
            <w:shd w:fill="0F2440"/>
          </w:tcPr>
          <w:p>
            <w:r/>
            <w:r>
              <w:rPr>
                <w:rFonts w:ascii="Times New Roman" w:hAnsi="Times New Roman" w:eastAsia="黑体"/>
                <w:b/>
                <w:color w:val="FFFFFF"/>
                <w:sz w:val="26"/>
              </w:rPr>
              <w:t>旧节题</w:t>
            </w:r>
          </w:p>
        </w:tc>
        <w:tc>
          <w:tcPr>
            <w:tcW w:type="dxa" w:w="2268"/>
            <w:shd w:fill="0F2440"/>
          </w:tcPr>
          <w:p>
            <w:r/>
            <w:r>
              <w:rPr>
                <w:rFonts w:ascii="Times New Roman" w:hAnsi="Times New Roman" w:eastAsia="黑体"/>
                <w:b/>
                <w:color w:val="FFFFFF"/>
                <w:sz w:val="26"/>
              </w:rPr>
              <w:t>新节题</w:t>
            </w:r>
          </w:p>
        </w:tc>
        <w:tc>
          <w:tcPr>
            <w:tcW w:type="dxa" w:w="3685"/>
            <w:shd w:fill="0F2440"/>
          </w:tcPr>
          <w:p>
            <w:r/>
            <w:r>
              <w:rPr>
                <w:rFonts w:ascii="Times New Roman" w:hAnsi="Times New Roman" w:eastAsia="黑体"/>
                <w:b/>
                <w:color w:val="FFFFFF"/>
                <w:sz w:val="26"/>
              </w:rPr>
              <w:t>出处/依据</w:t>
            </w:r>
          </w:p>
        </w:tc>
      </w:tr>
      <w:tr>
        <w:tc>
          <w:tcPr>
            <w:tcW w:type="dxa" w:w="3118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出发之前</w:t>
            </w:r>
          </w:p>
        </w:tc>
        <w:tc>
          <w:tcPr>
            <w:tcW w:type="dxa" w:w="2268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风云未会</w:t>
            </w:r>
          </w:p>
        </w:tc>
        <w:tc>
          <w:tcPr>
            <w:tcW w:type="dxa" w:w="3685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化《周易·乾·文言》"云从龙，风从虎"</w:t>
            </w:r>
          </w:p>
        </w:tc>
      </w:tr>
      <w:tr>
        <w:tc>
          <w:tcPr>
            <w:tcW w:type="dxa" w:w="3118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小院里的话</w:t>
            </w:r>
          </w:p>
        </w:tc>
        <w:tc>
          <w:tcPr>
            <w:tcW w:type="dxa" w:w="2268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小院定盟</w:t>
            </w:r>
          </w:p>
        </w:tc>
        <w:tc>
          <w:tcPr>
            <w:tcW w:type="dxa" w:w="3685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—</w:t>
            </w:r>
          </w:p>
        </w:tc>
      </w:tr>
      <w:tr>
        <w:tc>
          <w:tcPr>
            <w:tcW w:type="dxa" w:w="3118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为什么是喀什</w:t>
            </w:r>
          </w:p>
        </w:tc>
        <w:tc>
          <w:tcPr>
            <w:tcW w:type="dxa" w:w="2268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何以喀什</w:t>
            </w:r>
          </w:p>
        </w:tc>
        <w:tc>
          <w:tcPr>
            <w:tcW w:type="dxa" w:w="3685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《诗经》式设问</w:t>
            </w:r>
          </w:p>
        </w:tc>
      </w:tr>
      <w:tr>
        <w:tc>
          <w:tcPr>
            <w:tcW w:type="dxa" w:w="3118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事没成，局成了</w:t>
            </w:r>
          </w:p>
        </w:tc>
        <w:tc>
          <w:tcPr>
            <w:tcW w:type="dxa" w:w="2268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失东隅，收桑榆</w:t>
            </w:r>
          </w:p>
        </w:tc>
        <w:tc>
          <w:tcPr>
            <w:tcW w:type="dxa" w:w="3685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《后汉书·冯异传》</w:t>
            </w:r>
          </w:p>
        </w:tc>
      </w:tr>
      <w:tr>
        <w:tc>
          <w:tcPr>
            <w:tcW w:type="dxa" w:w="3118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从喀什回来以后</w:t>
            </w:r>
          </w:p>
        </w:tc>
        <w:tc>
          <w:tcPr>
            <w:tcW w:type="dxa" w:w="2268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自西徂东</w:t>
            </w:r>
          </w:p>
        </w:tc>
        <w:tc>
          <w:tcPr>
            <w:tcW w:type="dxa" w:w="3685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《诗经·大雅·桑柔》</w:t>
            </w:r>
          </w:p>
        </w:tc>
      </w:tr>
      <w:tr>
        <w:tc>
          <w:tcPr>
            <w:tcW w:type="dxa" w:w="3118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恒：长久的恒</w:t>
            </w:r>
          </w:p>
        </w:tc>
        <w:tc>
          <w:tcPr>
            <w:tcW w:type="dxa" w:w="2268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恒者，久也</w:t>
            </w:r>
          </w:p>
        </w:tc>
        <w:tc>
          <w:tcPr>
            <w:tcW w:type="dxa" w:w="3685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《周易·恒卦》</w:t>
            </w:r>
          </w:p>
        </w:tc>
      </w:tr>
      <w:tr>
        <w:tc>
          <w:tcPr>
            <w:tcW w:type="dxa" w:w="3118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恒的另一面</w:t>
            </w:r>
          </w:p>
        </w:tc>
        <w:tc>
          <w:tcPr>
            <w:tcW w:type="dxa" w:w="2268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变中有守</w:t>
            </w:r>
          </w:p>
        </w:tc>
        <w:tc>
          <w:tcPr>
            <w:tcW w:type="dxa" w:w="3685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恒卦"雷风相与"衍义</w:t>
            </w:r>
          </w:p>
        </w:tc>
      </w:tr>
      <w:tr>
        <w:tc>
          <w:tcPr>
            <w:tcW w:type="dxa" w:w="3118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通：全部通了的通</w:t>
            </w:r>
          </w:p>
        </w:tc>
        <w:tc>
          <w:tcPr>
            <w:tcW w:type="dxa" w:w="2268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通者，达也</w:t>
            </w:r>
          </w:p>
        </w:tc>
        <w:tc>
          <w:tcPr>
            <w:tcW w:type="dxa" w:w="3685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《论语·颜渊》</w:t>
            </w:r>
          </w:p>
        </w:tc>
      </w:tr>
      <w:tr>
        <w:tc>
          <w:tcPr>
            <w:tcW w:type="dxa" w:w="3118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白马：跑到终点的马</w:t>
            </w:r>
          </w:p>
        </w:tc>
        <w:tc>
          <w:tcPr>
            <w:tcW w:type="dxa" w:w="2268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皎皎白驹</w:t>
            </w:r>
          </w:p>
        </w:tc>
        <w:tc>
          <w:tcPr>
            <w:tcW w:type="dxa" w:w="3685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《诗经·小雅·白驹》</w:t>
            </w:r>
          </w:p>
        </w:tc>
      </w:tr>
      <w:tr>
        <w:tc>
          <w:tcPr>
            <w:tcW w:type="dxa" w:w="3118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为什么是白马</w:t>
            </w:r>
          </w:p>
        </w:tc>
        <w:tc>
          <w:tcPr>
            <w:tcW w:type="dxa" w:w="2268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涅而不缁</w:t>
            </w:r>
          </w:p>
        </w:tc>
        <w:tc>
          <w:tcPr>
            <w:tcW w:type="dxa" w:w="3685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《论语·阳货》"不曰白乎，涅而不缁"</w:t>
            </w:r>
          </w:p>
        </w:tc>
      </w:tr>
      <w:tr>
        <w:tc>
          <w:tcPr>
            <w:tcW w:type="dxa" w:w="3118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六马：并驾的六匹马</w:t>
            </w:r>
          </w:p>
        </w:tc>
        <w:tc>
          <w:tcPr>
            <w:tcW w:type="dxa" w:w="2268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六辔如琴</w:t>
            </w:r>
          </w:p>
        </w:tc>
        <w:tc>
          <w:tcPr>
            <w:tcW w:type="dxa" w:w="3685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《诗经·小雅·车舝》"六辔如琴"</w:t>
            </w:r>
          </w:p>
        </w:tc>
      </w:tr>
      <w:tr>
        <w:tc>
          <w:tcPr>
            <w:tcW w:type="dxa" w:w="3118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信念不在墙上</w:t>
            </w:r>
          </w:p>
        </w:tc>
        <w:tc>
          <w:tcPr>
            <w:tcW w:type="dxa" w:w="2268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信念在躬</w:t>
            </w:r>
          </w:p>
        </w:tc>
        <w:tc>
          <w:tcPr>
            <w:tcW w:type="dxa" w:w="3685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—</w:t>
            </w:r>
          </w:p>
        </w:tc>
      </w:tr>
      <w:tr>
        <w:tc>
          <w:tcPr>
            <w:tcW w:type="dxa" w:w="3118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随和，但不糊涂</w:t>
            </w:r>
          </w:p>
        </w:tc>
        <w:tc>
          <w:tcPr>
            <w:tcW w:type="dxa" w:w="2268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和而不流</w:t>
            </w:r>
          </w:p>
        </w:tc>
        <w:tc>
          <w:tcPr>
            <w:tcW w:type="dxa" w:w="3685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《礼记·儒行》</w:t>
            </w:r>
          </w:p>
        </w:tc>
      </w:tr>
      <w:tr>
        <w:tc>
          <w:tcPr>
            <w:tcW w:type="dxa" w:w="3118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务实，从一间办公室说起</w:t>
            </w:r>
          </w:p>
        </w:tc>
        <w:tc>
          <w:tcPr>
            <w:tcW w:type="dxa" w:w="2268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实事求是</w:t>
            </w:r>
          </w:p>
        </w:tc>
        <w:tc>
          <w:tcPr>
            <w:tcW w:type="dxa" w:w="3685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《汉书·河间献王传》</w:t>
            </w:r>
          </w:p>
        </w:tc>
      </w:tr>
      <w:tr>
        <w:tc>
          <w:tcPr>
            <w:tcW w:type="dxa" w:w="3118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有主心骨</w:t>
            </w:r>
          </w:p>
        </w:tc>
        <w:tc>
          <w:tcPr>
            <w:tcW w:type="dxa" w:w="2268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定于一</w:t>
            </w:r>
          </w:p>
        </w:tc>
        <w:tc>
          <w:tcPr>
            <w:tcW w:type="dxa" w:w="3685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《孟子·梁惠王上》"定于一"</w:t>
            </w:r>
          </w:p>
        </w:tc>
      </w:tr>
      <w:tr>
        <w:tc>
          <w:tcPr>
            <w:tcW w:type="dxa" w:w="3118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有力出力的意思</w:t>
            </w:r>
          </w:p>
        </w:tc>
        <w:tc>
          <w:tcPr>
            <w:tcW w:type="dxa" w:w="2268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有力助人</w:t>
            </w:r>
          </w:p>
        </w:tc>
        <w:tc>
          <w:tcPr>
            <w:tcW w:type="dxa" w:w="3685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《墨子·尚贤下》</w:t>
            </w:r>
          </w:p>
        </w:tc>
      </w:tr>
      <w:tr>
        <w:tc>
          <w:tcPr>
            <w:tcW w:type="dxa" w:w="3118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敢不计较的底气</w:t>
            </w:r>
          </w:p>
        </w:tc>
        <w:tc>
          <w:tcPr>
            <w:tcW w:type="dxa" w:w="2268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既往不咎</w:t>
            </w:r>
          </w:p>
        </w:tc>
        <w:tc>
          <w:tcPr>
            <w:tcW w:type="dxa" w:w="3685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《论语·八佾》</w:t>
            </w:r>
          </w:p>
        </w:tc>
      </w:tr>
      <w:tr>
        <w:tc>
          <w:tcPr>
            <w:tcW w:type="dxa" w:w="3118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快与慢</w:t>
            </w:r>
          </w:p>
        </w:tc>
        <w:tc>
          <w:tcPr>
            <w:tcW w:type="dxa" w:w="2268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一张一弛</w:t>
            </w:r>
          </w:p>
        </w:tc>
        <w:tc>
          <w:tcPr>
            <w:tcW w:type="dxa" w:w="3685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《礼记·杂记下》"一张一弛，文武之道也"</w:t>
            </w:r>
          </w:p>
        </w:tc>
      </w:tr>
      <w:tr>
        <w:tc>
          <w:tcPr>
            <w:tcW w:type="dxa" w:w="3118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对内如此，对外也一样</w:t>
            </w:r>
          </w:p>
        </w:tc>
        <w:tc>
          <w:tcPr>
            <w:tcW w:type="dxa" w:w="2268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表里如一</w:t>
            </w:r>
          </w:p>
        </w:tc>
        <w:tc>
          <w:tcPr>
            <w:tcW w:type="dxa" w:w="3685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《朱子全书》</w:t>
            </w:r>
          </w:p>
        </w:tc>
      </w:tr>
      <w:tr>
        <w:tc>
          <w:tcPr>
            <w:tcW w:type="dxa" w:w="3118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不养闲人，也不亏待干活的人</w:t>
            </w:r>
          </w:p>
        </w:tc>
        <w:tc>
          <w:tcPr>
            <w:tcW w:type="dxa" w:w="2268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不养闲，不负劳</w:t>
            </w:r>
          </w:p>
        </w:tc>
        <w:tc>
          <w:tcPr>
            <w:tcW w:type="dxa" w:w="3685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—</w:t>
            </w:r>
          </w:p>
        </w:tc>
      </w:tr>
      <w:tr>
        <w:tc>
          <w:tcPr>
            <w:tcW w:type="dxa" w:w="3118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给事，给权，给利</w:t>
            </w:r>
          </w:p>
        </w:tc>
        <w:tc>
          <w:tcPr>
            <w:tcW w:type="dxa" w:w="2268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予事，予权，予利</w:t>
            </w:r>
          </w:p>
        </w:tc>
        <w:tc>
          <w:tcPr>
            <w:tcW w:type="dxa" w:w="3685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—</w:t>
            </w:r>
          </w:p>
        </w:tc>
      </w:tr>
      <w:tr>
        <w:tc>
          <w:tcPr>
            <w:tcW w:type="dxa" w:w="3118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可以说不</w:t>
            </w:r>
          </w:p>
        </w:tc>
        <w:tc>
          <w:tcPr>
            <w:tcW w:type="dxa" w:w="2268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闻过则喜</w:t>
            </w:r>
          </w:p>
        </w:tc>
        <w:tc>
          <w:tcPr>
            <w:tcW w:type="dxa" w:w="3685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《孟子·公孙丑上》"子路闻过则喜"</w:t>
            </w:r>
          </w:p>
        </w:tc>
      </w:tr>
      <w:tr>
        <w:tc>
          <w:tcPr>
            <w:tcW w:type="dxa" w:w="3118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长远的人，一起走远</w:t>
            </w:r>
          </w:p>
        </w:tc>
        <w:tc>
          <w:tcPr>
            <w:tcW w:type="dxa" w:w="2268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与子偕行</w:t>
            </w:r>
          </w:p>
        </w:tc>
        <w:tc>
          <w:tcPr>
            <w:tcW w:type="dxa" w:w="3685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《诗经·秦风·无衣》</w:t>
            </w:r>
          </w:p>
        </w:tc>
      </w:tr>
      <w:tr>
        <w:tc>
          <w:tcPr>
            <w:tcW w:type="dxa" w:w="3118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西部的风，要变成西部的饭</w:t>
            </w:r>
          </w:p>
        </w:tc>
        <w:tc>
          <w:tcPr>
            <w:tcW w:type="dxa" w:w="2268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风行天上</w:t>
            </w:r>
          </w:p>
        </w:tc>
        <w:tc>
          <w:tcPr>
            <w:tcW w:type="dxa" w:w="3685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《周易·小畜·象》</w:t>
            </w:r>
          </w:p>
        </w:tc>
      </w:tr>
      <w:tr>
        <w:tc>
          <w:tcPr>
            <w:tcW w:type="dxa" w:w="3118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产业通了，普通人才有实惠</w:t>
            </w:r>
          </w:p>
        </w:tc>
        <w:tc>
          <w:tcPr>
            <w:tcW w:type="dxa" w:w="2268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通商惠工</w:t>
            </w:r>
          </w:p>
        </w:tc>
        <w:tc>
          <w:tcPr>
            <w:tcW w:type="dxa" w:w="3685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《左传·闵公二年》</w:t>
            </w:r>
          </w:p>
        </w:tc>
      </w:tr>
      <w:tr>
        <w:tc>
          <w:tcPr>
            <w:tcW w:type="dxa" w:w="3118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负责任，是最大的通行证</w:t>
            </w:r>
          </w:p>
        </w:tc>
        <w:tc>
          <w:tcPr>
            <w:tcW w:type="dxa" w:w="2268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德不孤，必有邻</w:t>
            </w:r>
          </w:p>
        </w:tc>
        <w:tc>
          <w:tcPr>
            <w:tcW w:type="dxa" w:w="3685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《论语·里仁》</w:t>
            </w:r>
          </w:p>
        </w:tc>
      </w:tr>
      <w:tr>
        <w:tc>
          <w:tcPr>
            <w:tcW w:type="dxa" w:w="3118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为什么敢想最大</w:t>
            </w:r>
          </w:p>
        </w:tc>
        <w:tc>
          <w:tcPr>
            <w:tcW w:type="dxa" w:w="2268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虽千万人，吾往矣</w:t>
            </w:r>
          </w:p>
        </w:tc>
        <w:tc>
          <w:tcPr>
            <w:tcW w:type="dxa" w:w="3685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《孟子·公孙丑上》</w:t>
            </w:r>
          </w:p>
        </w:tc>
      </w:tr>
    </w:tbl>
    <w:p>
      <w:pPr>
        <w:spacing w:after="40"/>
      </w:pPr>
    </w:p>
    <w:p>
      <w:pPr>
        <w:spacing w:before="280" w:after="160"/>
      </w:pPr>
      <w:r>
        <w:rPr>
          <w:rFonts w:ascii="Times New Roman" w:hAnsi="Times New Roman" w:eastAsia="黑体"/>
          <w:b/>
          <w:color w:val="0F2440"/>
          <w:sz w:val="34"/>
        </w:rPr>
        <w:t>三、制度条题（新旧对照）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1984"/>
            <w:shd w:fill="0F2440"/>
          </w:tcPr>
          <w:p>
            <w:r/>
            <w:r>
              <w:rPr>
                <w:rFonts w:ascii="Times New Roman" w:hAnsi="Times New Roman" w:eastAsia="黑体"/>
                <w:b/>
                <w:color w:val="FFFFFF"/>
                <w:sz w:val="26"/>
              </w:rPr>
              <w:t>旧条题</w:t>
            </w:r>
          </w:p>
        </w:tc>
        <w:tc>
          <w:tcPr>
            <w:tcW w:type="dxa" w:w="2268"/>
            <w:shd w:fill="0F2440"/>
          </w:tcPr>
          <w:p>
            <w:r/>
            <w:r>
              <w:rPr>
                <w:rFonts w:ascii="Times New Roman" w:hAnsi="Times New Roman" w:eastAsia="黑体"/>
                <w:b/>
                <w:color w:val="FFFFFF"/>
                <w:sz w:val="26"/>
              </w:rPr>
              <w:t>新条题</w:t>
            </w:r>
          </w:p>
        </w:tc>
        <w:tc>
          <w:tcPr>
            <w:tcW w:type="dxa" w:w="4819"/>
            <w:shd w:fill="0F2440"/>
          </w:tcPr>
          <w:p>
            <w:r/>
            <w:r>
              <w:rPr>
                <w:rFonts w:ascii="Times New Roman" w:hAnsi="Times New Roman" w:eastAsia="黑体"/>
                <w:b/>
                <w:color w:val="FFFFFF"/>
                <w:sz w:val="26"/>
              </w:rPr>
              <w:t>出处/依据</w:t>
            </w:r>
          </w:p>
        </w:tc>
      </w:tr>
      <w:tr>
        <w:tc>
          <w:tcPr>
            <w:tcW w:type="dxa" w:w="1984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刀刃优先</w:t>
            </w:r>
          </w:p>
        </w:tc>
        <w:tc>
          <w:tcPr>
            <w:tcW w:type="dxa" w:w="2268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提纲挈领</w:t>
            </w:r>
          </w:p>
        </w:tc>
        <w:tc>
          <w:tcPr>
            <w:tcW w:type="dxa" w:w="4819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《吕氏春秋》"壹引其纲，万目皆张"</w:t>
            </w:r>
          </w:p>
        </w:tc>
      </w:tr>
      <w:tr>
        <w:tc>
          <w:tcPr>
            <w:tcW w:type="dxa" w:w="1984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闭环交付</w:t>
            </w:r>
          </w:p>
        </w:tc>
        <w:tc>
          <w:tcPr>
            <w:tcW w:type="dxa" w:w="2268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善始善终</w:t>
            </w:r>
          </w:p>
        </w:tc>
        <w:tc>
          <w:tcPr>
            <w:tcW w:type="dxa" w:w="4819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《庄子·大宗师》</w:t>
            </w:r>
          </w:p>
        </w:tc>
      </w:tr>
      <w:tr>
        <w:tc>
          <w:tcPr>
            <w:tcW w:type="dxa" w:w="1984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如实承诺</w:t>
            </w:r>
          </w:p>
        </w:tc>
        <w:tc>
          <w:tcPr>
            <w:tcW w:type="dxa" w:w="2268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言而有信</w:t>
            </w:r>
          </w:p>
        </w:tc>
        <w:tc>
          <w:tcPr>
            <w:tcW w:type="dxa" w:w="4819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《论语·学而》</w:t>
            </w:r>
          </w:p>
        </w:tc>
      </w:tr>
      <w:tr>
        <w:tc>
          <w:tcPr>
            <w:tcW w:type="dxa" w:w="1984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成本意识</w:t>
            </w:r>
          </w:p>
        </w:tc>
        <w:tc>
          <w:tcPr>
            <w:tcW w:type="dxa" w:w="2268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俭以养德</w:t>
            </w:r>
          </w:p>
        </w:tc>
        <w:tc>
          <w:tcPr>
            <w:tcW w:type="dxa" w:w="4819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诸葛亮《诫子书》</w:t>
            </w:r>
          </w:p>
        </w:tc>
      </w:tr>
      <w:tr>
        <w:tc>
          <w:tcPr>
            <w:tcW w:type="dxa" w:w="1984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当面沟通</w:t>
            </w:r>
          </w:p>
        </w:tc>
        <w:tc>
          <w:tcPr>
            <w:tcW w:type="dxa" w:w="2268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开诚布公</w:t>
            </w:r>
          </w:p>
        </w:tc>
        <w:tc>
          <w:tcPr>
            <w:tcW w:type="dxa" w:w="4819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《三国志·诸葛亮传》"开诚心，布公道"</w:t>
            </w:r>
          </w:p>
        </w:tc>
      </w:tr>
      <w:tr>
        <w:tc>
          <w:tcPr>
            <w:tcW w:type="dxa" w:w="1984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对事不对人</w:t>
            </w:r>
          </w:p>
        </w:tc>
        <w:tc>
          <w:tcPr>
            <w:tcW w:type="dxa" w:w="2268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论事不论人</w:t>
            </w:r>
          </w:p>
        </w:tc>
        <w:tc>
          <w:tcPr>
            <w:tcW w:type="dxa" w:w="4819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—</w:t>
            </w:r>
          </w:p>
        </w:tc>
      </w:tr>
      <w:tr>
        <w:tc>
          <w:tcPr>
            <w:tcW w:type="dxa" w:w="1984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说清不记仇</w:t>
            </w:r>
          </w:p>
        </w:tc>
        <w:tc>
          <w:tcPr>
            <w:tcW w:type="dxa" w:w="2268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不念旧恶</w:t>
            </w:r>
          </w:p>
        </w:tc>
        <w:tc>
          <w:tcPr>
            <w:tcW w:type="dxa" w:w="4819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《论语·公冶长》</w:t>
            </w:r>
          </w:p>
        </w:tc>
      </w:tr>
      <w:tr>
        <w:tc>
          <w:tcPr>
            <w:tcW w:type="dxa" w:w="1984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直抒己见</w:t>
            </w:r>
          </w:p>
        </w:tc>
        <w:tc>
          <w:tcPr>
            <w:tcW w:type="dxa" w:w="2268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知无不言</w:t>
            </w:r>
          </w:p>
        </w:tc>
        <w:tc>
          <w:tcPr>
            <w:tcW w:type="dxa" w:w="4819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苏洵《衡论》"知无不言，言无不尽"</w:t>
            </w:r>
          </w:p>
        </w:tc>
      </w:tr>
      <w:tr>
        <w:tc>
          <w:tcPr>
            <w:tcW w:type="dxa" w:w="1984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能上则上</w:t>
            </w:r>
          </w:p>
        </w:tc>
        <w:tc>
          <w:tcPr>
            <w:tcW w:type="dxa" w:w="2268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当仁不让</w:t>
            </w:r>
          </w:p>
        </w:tc>
        <w:tc>
          <w:tcPr>
            <w:tcW w:type="dxa" w:w="4819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《论语·卫灵公》</w:t>
            </w:r>
          </w:p>
        </w:tc>
      </w:tr>
      <w:tr>
        <w:tc>
          <w:tcPr>
            <w:tcW w:type="dxa" w:w="1984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本事共用</w:t>
            </w:r>
          </w:p>
        </w:tc>
        <w:tc>
          <w:tcPr>
            <w:tcW w:type="dxa" w:w="2268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有道教人</w:t>
            </w:r>
          </w:p>
        </w:tc>
        <w:tc>
          <w:tcPr>
            <w:tcW w:type="dxa" w:w="4819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《墨子·尚贤下》"有道者劝以教人"</w:t>
            </w:r>
          </w:p>
        </w:tc>
      </w:tr>
      <w:tr>
        <w:tc>
          <w:tcPr>
            <w:tcW w:type="dxa" w:w="1984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出力不记账</w:t>
            </w:r>
          </w:p>
        </w:tc>
        <w:tc>
          <w:tcPr>
            <w:tcW w:type="dxa" w:w="2268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为而不恃</w:t>
            </w:r>
          </w:p>
        </w:tc>
        <w:tc>
          <w:tcPr>
            <w:tcW w:type="dxa" w:w="4819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《道德经》"为而不恃，长而不宰"</w:t>
            </w:r>
          </w:p>
        </w:tc>
      </w:tr>
      <w:tr>
        <w:tc>
          <w:tcPr>
            <w:tcW w:type="dxa" w:w="1984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补位先看事</w:t>
            </w:r>
          </w:p>
        </w:tc>
        <w:tc>
          <w:tcPr>
            <w:tcW w:type="dxa" w:w="2268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补偏救弊</w:t>
            </w:r>
          </w:p>
        </w:tc>
        <w:tc>
          <w:tcPr>
            <w:tcW w:type="dxa" w:w="4819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—</w:t>
            </w:r>
          </w:p>
        </w:tc>
      </w:tr>
      <w:tr>
        <w:tc>
          <w:tcPr>
            <w:tcW w:type="dxa" w:w="1984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如实立约</w:t>
            </w:r>
          </w:p>
        </w:tc>
        <w:tc>
          <w:tcPr>
            <w:tcW w:type="dxa" w:w="2268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一诺必诚</w:t>
            </w:r>
          </w:p>
        </w:tc>
        <w:tc>
          <w:tcPr>
            <w:tcW w:type="dxa" w:w="4819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—</w:t>
            </w:r>
          </w:p>
        </w:tc>
      </w:tr>
      <w:tr>
        <w:tc>
          <w:tcPr>
            <w:tcW w:type="dxa" w:w="1984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实话实说</w:t>
            </w:r>
          </w:p>
        </w:tc>
        <w:tc>
          <w:tcPr>
            <w:tcW w:type="dxa" w:w="2268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直道而言</w:t>
            </w:r>
          </w:p>
        </w:tc>
        <w:tc>
          <w:tcPr>
            <w:tcW w:type="dxa" w:w="4819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《论语·卫灵公》"直道而行"</w:t>
            </w:r>
          </w:p>
        </w:tc>
      </w:tr>
      <w:tr>
        <w:tc>
          <w:tcPr>
            <w:tcW w:type="dxa" w:w="1984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负责到底</w:t>
            </w:r>
          </w:p>
        </w:tc>
        <w:tc>
          <w:tcPr>
            <w:tcW w:type="dxa" w:w="2268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责有攸归</w:t>
            </w:r>
          </w:p>
        </w:tc>
        <w:tc>
          <w:tcPr>
            <w:tcW w:type="dxa" w:w="4819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—</w:t>
            </w:r>
          </w:p>
        </w:tc>
      </w:tr>
      <w:tr>
        <w:tc>
          <w:tcPr>
            <w:tcW w:type="dxa" w:w="1984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同路则行</w:t>
            </w:r>
          </w:p>
        </w:tc>
        <w:tc>
          <w:tcPr>
            <w:tcW w:type="dxa" w:w="2268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道同则谋</w:t>
            </w:r>
          </w:p>
        </w:tc>
        <w:tc>
          <w:tcPr>
            <w:tcW w:type="dxa" w:w="4819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《论语·卫灵公》"道不同，不相为谋"</w:t>
            </w:r>
          </w:p>
        </w:tc>
      </w:tr>
      <w:tr>
        <w:tc>
          <w:tcPr>
            <w:tcW w:type="dxa" w:w="1984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预算先行</w:t>
            </w:r>
          </w:p>
        </w:tc>
        <w:tc>
          <w:tcPr>
            <w:tcW w:type="dxa" w:w="2268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预则立</w:t>
            </w:r>
          </w:p>
        </w:tc>
        <w:tc>
          <w:tcPr>
            <w:tcW w:type="dxa" w:w="4819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《礼记·中庸》"凡事豫则立，不豫则废"</w:t>
            </w:r>
          </w:p>
        </w:tc>
      </w:tr>
      <w:tr>
        <w:tc>
          <w:tcPr>
            <w:tcW w:type="dxa" w:w="1984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精益成本</w:t>
            </w:r>
          </w:p>
        </w:tc>
        <w:tc>
          <w:tcPr>
            <w:tcW w:type="dxa" w:w="2268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节用裕民</w:t>
            </w:r>
          </w:p>
        </w:tc>
        <w:tc>
          <w:tcPr>
            <w:tcW w:type="dxa" w:w="4819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《荀子·富国》</w:t>
            </w:r>
          </w:p>
        </w:tc>
      </w:tr>
      <w:tr>
        <w:tc>
          <w:tcPr>
            <w:tcW w:type="dxa" w:w="1984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能力圈</w:t>
            </w:r>
          </w:p>
        </w:tc>
        <w:tc>
          <w:tcPr>
            <w:tcW w:type="dxa" w:w="2268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知止不殆</w:t>
            </w:r>
          </w:p>
        </w:tc>
        <w:tc>
          <w:tcPr>
            <w:tcW w:type="dxa" w:w="4819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《道德经》</w:t>
            </w:r>
          </w:p>
        </w:tc>
      </w:tr>
      <w:tr>
        <w:tc>
          <w:tcPr>
            <w:tcW w:type="dxa" w:w="1984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资金来源</w:t>
            </w:r>
          </w:p>
        </w:tc>
        <w:tc>
          <w:tcPr>
            <w:tcW w:type="dxa" w:w="2268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正本清源</w:t>
            </w:r>
          </w:p>
        </w:tc>
        <w:tc>
          <w:tcPr>
            <w:tcW w:type="dxa" w:w="4819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—</w:t>
            </w:r>
          </w:p>
        </w:tc>
      </w:tr>
      <w:tr>
        <w:tc>
          <w:tcPr>
            <w:tcW w:type="dxa" w:w="1984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尽调决策</w:t>
            </w:r>
          </w:p>
        </w:tc>
        <w:tc>
          <w:tcPr>
            <w:tcW w:type="dxa" w:w="2268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明察秋毫</w:t>
            </w:r>
          </w:p>
        </w:tc>
        <w:tc>
          <w:tcPr>
            <w:tcW w:type="dxa" w:w="4819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《孟子·梁惠王上》"明足以察秋毫之末"</w:t>
            </w:r>
          </w:p>
        </w:tc>
      </w:tr>
      <w:tr>
        <w:tc>
          <w:tcPr>
            <w:tcW w:type="dxa" w:w="1984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集体决策</w:t>
            </w:r>
          </w:p>
        </w:tc>
        <w:tc>
          <w:tcPr>
            <w:tcW w:type="dxa" w:w="2268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谋及卿士</w:t>
            </w:r>
          </w:p>
        </w:tc>
        <w:tc>
          <w:tcPr>
            <w:tcW w:type="dxa" w:w="4819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《尚书·洪范》"谋及卿士，谋及庶人"</w:t>
            </w:r>
          </w:p>
        </w:tc>
      </w:tr>
      <w:tr>
        <w:tc>
          <w:tcPr>
            <w:tcW w:type="dxa" w:w="1984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利益输送</w:t>
            </w:r>
          </w:p>
        </w:tc>
        <w:tc>
          <w:tcPr>
            <w:tcW w:type="dxa" w:w="2268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瓜田李下</w:t>
            </w:r>
          </w:p>
        </w:tc>
        <w:tc>
          <w:tcPr>
            <w:tcW w:type="dxa" w:w="4819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古乐府《君子行》"瓜田不纳履，李下不整冠"</w:t>
            </w:r>
          </w:p>
        </w:tc>
      </w:tr>
      <w:tr>
        <w:tc>
          <w:tcPr>
            <w:tcW w:type="dxa" w:w="1984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廉洁从业</w:t>
            </w:r>
          </w:p>
        </w:tc>
        <w:tc>
          <w:tcPr>
            <w:tcW w:type="dxa" w:w="2268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两袖清风</w:t>
            </w:r>
          </w:p>
        </w:tc>
        <w:tc>
          <w:tcPr>
            <w:tcW w:type="dxa" w:w="4819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明·于谦《入京诗》</w:t>
            </w:r>
          </w:p>
        </w:tc>
      </w:tr>
      <w:tr>
        <w:tc>
          <w:tcPr>
            <w:tcW w:type="dxa" w:w="1984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内幕与灰色业务</w:t>
            </w:r>
          </w:p>
        </w:tc>
        <w:tc>
          <w:tcPr>
            <w:tcW w:type="dxa" w:w="2268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不欺暗室</w:t>
            </w:r>
          </w:p>
        </w:tc>
        <w:tc>
          <w:tcPr>
            <w:tcW w:type="dxa" w:w="4819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汉《列女传·卫灵夫人》</w:t>
            </w:r>
          </w:p>
        </w:tc>
      </w:tr>
      <w:tr>
        <w:tc>
          <w:tcPr>
            <w:tcW w:type="dxa" w:w="1984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信息保密</w:t>
            </w:r>
          </w:p>
        </w:tc>
        <w:tc>
          <w:tcPr>
            <w:tcW w:type="dxa" w:w="2268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三缄其口</w:t>
            </w:r>
          </w:p>
        </w:tc>
        <w:tc>
          <w:tcPr>
            <w:tcW w:type="dxa" w:w="4819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《孔子家语·观周》</w:t>
            </w:r>
          </w:p>
        </w:tc>
      </w:tr>
      <w:tr>
        <w:tc>
          <w:tcPr>
            <w:tcW w:type="dxa" w:w="1984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信用底线</w:t>
            </w:r>
          </w:p>
        </w:tc>
        <w:tc>
          <w:tcPr>
            <w:tcW w:type="dxa" w:w="2268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人而无信</w:t>
            </w:r>
          </w:p>
        </w:tc>
        <w:tc>
          <w:tcPr>
            <w:tcW w:type="dxa" w:w="4819"/>
          </w:tcPr>
          <w:p>
            <w:r/>
            <w:r>
              <w:rPr>
                <w:rFonts w:ascii="Times New Roman" w:hAnsi="Times New Roman" w:eastAsia="宋体"/>
                <w:b w:val="0"/>
                <w:sz w:val="25"/>
              </w:rPr>
              <w:t>《论语·为政》"人而无信，不知其可也"</w:t>
            </w:r>
          </w:p>
        </w:tc>
      </w:tr>
    </w:tbl>
    <w:p>
      <w:pPr>
        <w:spacing w:after="40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84" w:lineRule="auto" w:after="120"/>
    </w:pPr>
    <w:rPr>
      <w:rFonts w:ascii="Times New Roman" w:hAnsi="Times New Roman" w:eastAsia="宋体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