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恒通文化 · 总纲说明</w:t>
      </w:r>
    </w:p>
    <w:p>
      <w:pPr>
        <w:jc w:val="center"/>
      </w:pPr>
      <w:r>
        <w:rPr>
          <w:rFonts w:ascii="Times New Roman" w:hAnsi="Times New Roman" w:eastAsia="楷体"/>
          <w:sz w:val="24"/>
        </w:rPr>
        <w:t>——四份文化文档的体系索引与落地机制（先看这张，再读各本）——</w:t>
      </w:r>
    </w:p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一、体系架构：一母四级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恒通文化体系由一份母本、四级文件构成。母本是《恒通企业文化》正本（书稿），是全部文化内容的源头与最终依据；四级文件各有分工，不得相互替代。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58"/>
        <w:gridCol w:w="1858"/>
        <w:gridCol w:w="1858"/>
        <w:gridCol w:w="1858"/>
        <w:gridCol w:w="1858"/>
      </w:tblGrid>
      <w:tr>
        <w:tc>
          <w:tcPr>
            <w:tcW w:type="dxa" w:w="1020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层级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文件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定位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给谁看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怎么用</w:t>
            </w:r>
          </w:p>
        </w:tc>
      </w:tr>
      <w:tr>
        <w:tc>
          <w:tcPr>
            <w:tcW w:type="dxa" w:w="1020"/>
          </w:tcPr>
          <w:p>
            <w:r>
              <w:rPr>
                <w:rFonts w:ascii="Times New Roman" w:hAnsi="Times New Roman" w:eastAsia="宋体"/>
                <w:sz w:val="24"/>
              </w:rPr>
              <w:t>母本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宋体"/>
                <w:sz w:val="24"/>
              </w:rPr>
              <w:t>《恒通企业文化》正本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宋体"/>
                <w:sz w:val="24"/>
              </w:rPr>
              <w:t>魂：源头、故事、最终依据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宋体"/>
                <w:sz w:val="24"/>
              </w:rPr>
              <w:t>创始人、管理层、新人精读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深度学习；每年复盘补笔</w:t>
            </w:r>
          </w:p>
        </w:tc>
      </w:tr>
      <w:tr>
        <w:tc>
          <w:tcPr>
            <w:tcW w:type="dxa" w:w="1020"/>
          </w:tcPr>
          <w:p>
            <w:r>
              <w:rPr>
                <w:rFonts w:ascii="Times New Roman" w:hAnsi="Times New Roman" w:eastAsia="宋体"/>
                <w:sz w:val="24"/>
              </w:rPr>
              <w:t>1级 纲领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宋体"/>
                <w:sz w:val="24"/>
              </w:rPr>
              <w:t>《极简核心理念》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宋体"/>
                <w:sz w:val="24"/>
              </w:rPr>
              <w:t>面：使命/愿景/价值观/白马精神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宋体"/>
                <w:sz w:val="24"/>
              </w:rPr>
              <w:t>全员+外部（官网/物料/文化墙）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背得出、上得了墙</w:t>
            </w:r>
          </w:p>
        </w:tc>
      </w:tr>
      <w:tr>
        <w:tc>
          <w:tcPr>
            <w:tcW w:type="dxa" w:w="1020"/>
          </w:tcPr>
          <w:p>
            <w:r>
              <w:rPr>
                <w:rFonts w:ascii="Times New Roman" w:hAnsi="Times New Roman" w:eastAsia="宋体"/>
                <w:sz w:val="24"/>
              </w:rPr>
              <w:t>2级 逻辑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宋体"/>
                <w:sz w:val="24"/>
              </w:rPr>
              <w:t>正本"活法/共生"章+经营哲学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宋体"/>
                <w:sz w:val="24"/>
              </w:rPr>
              <w:t>根：团队相处与经营的底层逻辑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宋体"/>
                <w:sz w:val="24"/>
              </w:rPr>
              <w:t>全员（内部培训）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新人必修，管理层常修</w:t>
            </w:r>
          </w:p>
        </w:tc>
      </w:tr>
      <w:tr>
        <w:tc>
          <w:tcPr>
            <w:tcW w:type="dxa" w:w="1020"/>
          </w:tcPr>
          <w:p>
            <w:r>
              <w:rPr>
                <w:rFonts w:ascii="Times New Roman" w:hAnsi="Times New Roman" w:eastAsia="宋体"/>
                <w:sz w:val="24"/>
              </w:rPr>
              <w:t>3级 标尺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宋体"/>
                <w:sz w:val="24"/>
              </w:rPr>
              <w:t>《员工行为文化准则》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宋体"/>
                <w:sz w:val="24"/>
              </w:rPr>
              <w:t>尺：日常行为对照表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宋体"/>
                <w:sz w:val="24"/>
              </w:rPr>
              <w:t>全员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每天对照，可评判</w:t>
            </w:r>
          </w:p>
        </w:tc>
      </w:tr>
      <w:tr>
        <w:tc>
          <w:tcPr>
            <w:tcW w:type="dxa" w:w="1020"/>
          </w:tcPr>
          <w:p>
            <w:r>
              <w:rPr>
                <w:rFonts w:ascii="Times New Roman" w:hAnsi="Times New Roman" w:eastAsia="宋体"/>
                <w:sz w:val="24"/>
              </w:rPr>
              <w:t>4级 底线</w:t>
            </w:r>
          </w:p>
        </w:tc>
        <w:tc>
          <w:tcPr>
            <w:tcW w:type="dxa" w:w="2381"/>
          </w:tcPr>
          <w:p>
            <w:r>
              <w:rPr>
                <w:rFonts w:ascii="Times New Roman" w:hAnsi="Times New Roman" w:eastAsia="宋体"/>
                <w:sz w:val="24"/>
              </w:rPr>
              <w:t>《风控十条红线》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 w:eastAsia="宋体"/>
                <w:sz w:val="24"/>
              </w:rPr>
              <w:t>墙：刚性禁区，一票否决</w:t>
            </w:r>
          </w:p>
        </w:tc>
        <w:tc>
          <w:tcPr>
            <w:tcW w:type="dxa" w:w="1928"/>
          </w:tcPr>
          <w:p>
            <w:r>
              <w:rPr>
                <w:rFonts w:ascii="Times New Roman" w:hAnsi="Times New Roman" w:eastAsia="宋体"/>
                <w:sz w:val="24"/>
              </w:rPr>
              <w:t>全员（含创始人）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入职签署，每年重温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二、使用规则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对外只用1级纲领与对外物料版，正本不作对外发放；对内培训按2级、3级展开；4级红线全员签署、一体适用。对外对内两套口径，同源不同深——内容出自同一母本，不存在两套说法。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三、落地机制（框架）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23"/>
        <w:gridCol w:w="2323"/>
        <w:gridCol w:w="2323"/>
        <w:gridCol w:w="2323"/>
      </w:tblGrid>
      <w:tr>
        <w:tc>
          <w:tcPr>
            <w:tcW w:type="dxa" w:w="1814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机制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内容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责任方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频次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sz w:val="24"/>
              </w:rPr>
              <w:t>新人入职文化课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正本节选精读+极简理念背诵+红线签署+准则对照测试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综合部+板块负责人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 w:eastAsia="宋体"/>
                <w:sz w:val="24"/>
              </w:rPr>
              <w:t>入职首周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sz w:val="24"/>
              </w:rPr>
              <w:t>年度文化复盘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对照正本"这本书是活的"约定：补笔修订+评选"白马实干员工"（晋升、激励优先倾斜）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CEO办公会主持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 w:eastAsia="宋体"/>
                <w:sz w:val="24"/>
              </w:rPr>
              <w:t>每年一次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sz w:val="24"/>
              </w:rPr>
              <w:t>重大事项补笔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公司里程碑事件后，回来给书稿补一笔（走对记经验，走错记教训）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CEO办公会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 w:eastAsia="宋体"/>
                <w:sz w:val="24"/>
              </w:rPr>
              <w:t>即时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sz w:val="24"/>
              </w:rPr>
              <w:t>修订留痕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任何修订须书面留痕，旧版本存档备查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 w:eastAsia="宋体"/>
                <w:sz w:val="24"/>
              </w:rPr>
              <w:t>综合部</w:t>
            </w:r>
          </w:p>
        </w:tc>
        <w:tc>
          <w:tcPr>
            <w:tcW w:type="dxa" w:w="1134"/>
          </w:tcPr>
          <w:p>
            <w:r>
              <w:rPr>
                <w:rFonts w:ascii="Times New Roman" w:hAnsi="Times New Roman" w:eastAsia="宋体"/>
                <w:sz w:val="24"/>
              </w:rPr>
              <w:t>每次修订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四、快慢细则：哪里提速，哪里必须慢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365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快环节（要抢）</w:t>
            </w:r>
          </w:p>
        </w:tc>
        <w:tc>
          <w:tcPr>
            <w:tcW w:type="dxa" w:w="4365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慢环节（要审）</w:t>
            </w:r>
          </w:p>
        </w:tc>
      </w:tr>
      <w:tr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市场信息获取、客户响应——当天事当天回</w:t>
            </w:r>
          </w:p>
        </w:tc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项目尽调——三真实（资产/现金流/合同）不到底不决策</w:t>
            </w:r>
          </w:p>
        </w:tc>
      </w:tr>
      <w:tr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渠道对接、资源牵线——看准了先见面</w:t>
            </w:r>
          </w:p>
        </w:tc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大额投资——集体审议、书面留痕，不抢一天</w:t>
            </w:r>
          </w:p>
        </w:tc>
      </w:tr>
      <w:tr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已立项目的执行推进——只商量怎么做</w:t>
            </w:r>
          </w:p>
        </w:tc>
        <w:tc>
          <w:tcPr>
            <w:tcW w:type="dxa" w:w="4365"/>
          </w:tcPr>
          <w:p>
            <w:r>
              <w:rPr>
                <w:rFonts w:ascii="Times New Roman" w:hAnsi="Times New Roman" w:eastAsia="宋体"/>
                <w:sz w:val="24"/>
              </w:rPr>
              <w:t>用人决策——人没看准，宁可不用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五、板块文化适配要点（同一套文化，各有侧重）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板块不封顶：七大板块是起步，不是边界。后续新板块随项目入局同步增设，其文化落点由CEO办公会按同一套母体文化提炼补充。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板块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黑体"/>
                <w:b/>
                <w:color w:val="1C4FBB"/>
                <w:sz w:val="24"/>
              </w:rPr>
              <w:t>文化落点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金刚石散热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科技提效——以前沿技术立身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水务工程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民生稳健——水的生意，稳字当头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CDN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通路效率——通字诀的直接体现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AI算力-Token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前沿+绿电——把西部的电变成生产力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酒店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服务品质——长久主义的待客之道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城市照明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民生+实干——照亮了，才算数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宋体"/>
                <w:sz w:val="24"/>
              </w:rPr>
              <w:t>电商</w:t>
            </w:r>
          </w:p>
        </w:tc>
        <w:tc>
          <w:tcPr>
            <w:tcW w:type="dxa" w:w="6690"/>
          </w:tcPr>
          <w:p>
            <w:r>
              <w:rPr>
                <w:rFonts w:ascii="Times New Roman" w:hAnsi="Times New Roman" w:eastAsia="宋体"/>
                <w:sz w:val="24"/>
              </w:rPr>
              <w:t>源头直连——把好产品送到对的人手里</w:t>
            </w:r>
          </w:p>
        </w:tc>
      </w:tr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财务中台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宋体"/>
                <w:sz w:val="24"/>
              </w:rPr>
              <w:t>稳健守底、账实求真、资金闭环。合规标准由CEO统一制定，专人专项负责运营；中台行政仅提供后勤协同，不干预资金、核算、风控业务。财务、风控独立分线设置，实现业务与资金权责隔离，规避经营风险。</w:t>
            </w:r>
          </w:p>
        </w:tc>
      </w:tr>
    </w:tbl>
    <w:p/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