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  <w:jc w:val="center"/>
      </w:pPr>
      <w:r>
        <w:rPr>
          <w:rFonts w:ascii="Times New Roman" w:hAnsi="Times New Roman" w:eastAsia="黑体"/>
          <w:b/>
          <w:color w:val="0F2440"/>
          <w:sz w:val="40"/>
        </w:rPr>
        <w:t>恒通文化 v5 文言版 · 审校说明</w:t>
      </w:r>
    </w:p>
    <w:p>
      <w:pPr>
        <w:spacing w:before="0" w:after="240"/>
      </w:pPr>
      <w:r>
        <w:rPr>
          <w:rFonts w:ascii="Times New Roman" w:hAnsi="Times New Roman" w:eastAsia="宋体"/>
          <w:b w:val="0"/>
          <w:color w:val="666666"/>
          <w:sz w:val="25"/>
        </w:rPr>
        <w:t>本套文件共十二份。以下为成稿过程与核验记录，供股东审阅时对照。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0F2440"/>
          <w:sz w:val="30"/>
        </w:rPr>
        <w:t>一、文体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全书七分文言、三分白话（实测每千字含"之乎者也矣焉哉"46处以上）。纲领为文言格言，书稿为章回体，制度为文言条文。金句原话（"事没成，局成了"等）、经典引文、人物对话，一概保持原貌。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0F2440"/>
          <w:sz w:val="30"/>
        </w:rPr>
        <w:t>二、改写流程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三遍成稿：首遍白话转文言，二遍强化（白话段落清零），三遍降涩（生僻字换常用，求"雅而不涩"）。每遍之后皆以程序核验事实。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0F2440"/>
          <w:sz w:val="30"/>
        </w:rPr>
        <w:t>三、事实核验（机器交叉比对41项）</w:t>
      </w:r>
    </w:p>
    <w:p>
      <w:pPr>
        <w:spacing w:before="0" w:after="80"/>
        <w:ind w:left="283"/>
      </w:pPr>
      <w:r>
        <w:rPr>
          <w:rFonts w:ascii="Times New Roman" w:hAnsi="Times New Roman" w:eastAsia="宋体"/>
          <w:b w:val="0"/>
          <w:sz w:val="28"/>
        </w:rPr>
        <w:t>日期：二〇二六年五月二十四日（喀什定盟）、二〇二六年五月（起局）——全文一致；</w:t>
      </w:r>
    </w:p>
    <w:p>
      <w:pPr>
        <w:spacing w:before="0" w:after="80"/>
        <w:ind w:left="283"/>
      </w:pPr>
      <w:r>
        <w:rPr>
          <w:rFonts w:ascii="Times New Roman" w:hAnsi="Times New Roman" w:eastAsia="宋体"/>
          <w:b w:val="0"/>
          <w:sz w:val="28"/>
        </w:rPr>
        <w:t>人物：陈总、焦总、李总、黄总、郑总、王总、余前辈——仅"姓+总"，无全名；</w:t>
      </w:r>
    </w:p>
    <w:p>
      <w:pPr>
        <w:spacing w:before="0" w:after="80"/>
        <w:ind w:left="283"/>
      </w:pPr>
      <w:r>
        <w:rPr>
          <w:rFonts w:ascii="Times New Roman" w:hAnsi="Times New Roman" w:eastAsia="宋体"/>
          <w:b w:val="0"/>
          <w:sz w:val="28"/>
        </w:rPr>
        <w:t>数字：二十七年地产、一百亿资产、两百亿投融、近四十年枢纽、一百余年实战——与母本一致；</w:t>
      </w:r>
    </w:p>
    <w:p>
      <w:pPr>
        <w:spacing w:before="0" w:after="80"/>
        <w:ind w:left="283"/>
      </w:pPr>
      <w:r>
        <w:rPr>
          <w:rFonts w:ascii="Times New Roman" w:hAnsi="Times New Roman" w:eastAsia="宋体"/>
          <w:b w:val="0"/>
          <w:sz w:val="28"/>
        </w:rPr>
        <w:t>口径：首批七个板块（板块不封顶）、城市照明全称、权责隔离（中台不涉财务资金风控）——已核准；</w:t>
      </w:r>
    </w:p>
    <w:p>
      <w:pPr>
        <w:spacing w:before="0" w:after="80"/>
        <w:ind w:left="283"/>
      </w:pPr>
      <w:r>
        <w:rPr>
          <w:rFonts w:ascii="Times New Roman" w:hAnsi="Times New Roman" w:eastAsia="宋体"/>
          <w:b w:val="0"/>
          <w:sz w:val="28"/>
        </w:rPr>
        <w:t>制度：准则31条、红线19条、细则9条、公约15条、廉洁公约13条——编号全部连续无断号；</w:t>
      </w:r>
    </w:p>
    <w:p>
      <w:pPr>
        <w:spacing w:before="0" w:after="80"/>
        <w:ind w:left="283"/>
      </w:pPr>
      <w:r>
        <w:rPr>
          <w:rFonts w:ascii="Times New Roman" w:hAnsi="Times New Roman" w:eastAsia="宋体"/>
          <w:b w:val="0"/>
          <w:sz w:val="28"/>
        </w:rPr>
        <w:t>统一：全书统一为"停职核查"（原"停岗"已改）；使命愿景五字诀已回写母本。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0F2440"/>
          <w:sz w:val="30"/>
        </w:rPr>
        <w:t>四、经典考据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引用《周易》《论语》《中庸》《大学》《孟子》《诗经》《左传》《后汉书》《汉书》《离骚》、梁启超、张载共十九处，逐一核对原文无误。恒卦"恒，久也"标《彖传》、"君子以立不易方"标《象传》；《离骚》"路曼曼"从原文（非"漫漫"）。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0F2440"/>
          <w:sz w:val="30"/>
        </w:rPr>
        <w:t>五、配图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全套水墨插图由阿里云百炼旗舰绘图模型定制：白马落地奔跑（不腾空）、白+深蓝（#0F2440）+金配色、无文字无印章。封面白马、九章题图、戒欺碑、六马同辕，风格统一。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0F2440"/>
          <w:sz w:val="30"/>
        </w:rPr>
        <w:t>六、模型</w:t>
      </w:r>
    </w:p>
    <w:p>
      <w:pPr>
        <w:spacing w:before="0" w:after="120"/>
        <w:ind w:firstLine="560"/>
      </w:pPr>
      <w:r>
        <w:rPr>
          <w:rFonts w:ascii="Times New Roman" w:hAnsi="Times New Roman" w:eastAsia="宋体"/>
          <w:b w:val="0"/>
          <w:sz w:val="28"/>
        </w:rPr>
        <w:t>文本：qwen3.7-max（阿里云百炼旗舰）；绘图：qwen-image-2.0-pro（旗舰）。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84" w:lineRule="auto" w:after="120"/>
    </w:pPr>
    <w:rPr>
      <w:rFonts w:ascii="Times New Roman" w:hAnsi="Times New Roman" w:eastAsia="宋体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