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恒通产融 · 风控十条红线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全员适用（含六位创始人）· 触线即查 · 不因职位豁免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r>
        <w:br w:type="page"/>
      </w:r>
    </w:p>
    <w:p/>
    <w:p/>
    <w:p>
      <w:pPr>
        <w:spacing w:before="0" w:after="120"/>
        <w:jc w:val="center"/>
      </w:pPr>
      <w:r>
        <w:rPr>
          <w:rFonts w:ascii="Times New Roman" w:hAnsi="Times New Roman" w:eastAsia="楷体"/>
          <w:b/>
          <w:color w:val="9C2B2B"/>
          <w:sz w:val="108"/>
        </w:rPr>
        <w:t>戒欺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5"/>
        </w:rPr>
        <w:t>—— 恒通戒碑 · 取胡庆余堂"戒欺"遗意，全员共鉴 ——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4438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0_stel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43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第一章 总则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第一条（立法宗旨）</w:t>
      </w:r>
      <w:r>
        <w:rPr>
          <w:rFonts w:ascii="Times New Roman" w:hAnsi="Times New Roman" w:eastAsia="宋体"/>
          <w:b w:val="0"/>
          <w:sz w:val="28"/>
        </w:rPr>
        <w:t>为立恒通产融之底线，正全员之行为，依《恒通企业文化》正本之精神，特制定本红线。正本以明“我们相信什么”，本红线以戒“我们绝不做什么”。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第二条（总纲）</w:t>
      </w:r>
      <w:r>
        <w:rPr>
          <w:rFonts w:ascii="Times New Roman" w:hAnsi="Times New Roman" w:eastAsia="宋体"/>
          <w:b w:val="0"/>
          <w:sz w:val="28"/>
        </w:rPr>
        <w:t>《孟子·离娄下》有言：“人有不为也，而后可以有为。”本红线所立，皆恒通“不为”之事。公司大堂立“戒欺”二字为戒碑，全员共鉴。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第三条（一体适用）</w:t>
      </w:r>
      <w:r>
        <w:rPr>
          <w:rFonts w:ascii="Times New Roman" w:hAnsi="Times New Roman" w:eastAsia="宋体"/>
          <w:b w:val="0"/>
          <w:sz w:val="28"/>
        </w:rPr>
        <w:t>本红线适用于全体恒通产融员工及业务合作人员，六位创始人一体适用。凡触碰红线者，不论职位、不论贡献，立即停职核查；一经查实，即予清退；涉嫌违法者，移送司法机关。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第四条（从严条线）</w:t>
      </w:r>
      <w:r>
        <w:rPr>
          <w:rFonts w:ascii="Times New Roman" w:hAnsi="Times New Roman" w:eastAsia="宋体"/>
          <w:b w:val="0"/>
          <w:sz w:val="28"/>
        </w:rPr>
        <w:t>财务、资金岗乃风控第一道关口，凡所有红线条款，财务、资金人员当优先执行、从严自查。全公司财务、资金、风控、法务条线人员，皆由CEO统一指派管理。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第二章 红线条款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第五条（知止不殆）</w:t>
      </w:r>
      <w:r>
        <w:rPr>
          <w:rFonts w:ascii="Times New Roman" w:hAnsi="Times New Roman" w:eastAsia="宋体"/>
          <w:b w:val="0"/>
          <w:sz w:val="28"/>
        </w:rPr>
        <w:t>凡公司投资，当严格限定于能力圈边界之内。看不懂之行业，不得投；算不清账目之项目，不得碰。宁可错过，不可做错——恒通永不投能力圈外之项目。凡违反本条造成损失者，由责任人承担相应责任。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第六条（正本清源）</w:t>
      </w:r>
      <w:r>
        <w:rPr>
          <w:rFonts w:ascii="Times New Roman" w:hAnsi="Times New Roman" w:eastAsia="宋体"/>
          <w:b w:val="0"/>
          <w:sz w:val="28"/>
        </w:rPr>
        <w:t>凡资金来源，必须干净。不得涉足非法集资，不得设立资金池，不得挪用受托资金。任何一笔钱之来路，必须合法、清晰、可追溯。凡违者，一票否决，即予清退。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第七条（明察秋毫）</w:t>
      </w:r>
      <w:r>
        <w:rPr>
          <w:rFonts w:ascii="Times New Roman" w:hAnsi="Times New Roman" w:eastAsia="宋体"/>
          <w:b w:val="0"/>
          <w:sz w:val="28"/>
        </w:rPr>
        <w:t>凡项目未经完整尽调（资产真实、现金流真实、合同真实）者，不得上会。凡尽调造假或走过场者，视同触线。凡违者，项目即予冻结，责任人停职核查。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第八条（谋及卿士）</w:t>
      </w:r>
      <w:r>
        <w:rPr>
          <w:rFonts w:ascii="Times New Roman" w:hAnsi="Times New Roman" w:eastAsia="宋体"/>
          <w:b w:val="0"/>
          <w:sz w:val="28"/>
        </w:rPr>
        <w:t>凡达到规定金额或风险等级之项目，必须经核心决策层集体审议、书面留痕；严禁个人擅断、先斩后奏。凡违者，决策无效，责任人承担全部后果。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第九条（专款专用）</w:t>
      </w:r>
      <w:r>
        <w:rPr>
          <w:rFonts w:ascii="Times New Roman" w:hAnsi="Times New Roman" w:eastAsia="宋体"/>
          <w:b w:val="0"/>
          <w:sz w:val="28"/>
        </w:rPr>
        <w:t>凡项目资金，当封闭运行，严禁拆借挪用、“倒账”补洞。大额资金支付，当实行双人双签。凡违者，立即冻结权限；一经查实，即予清退。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第十条（瓜田李下）</w:t>
      </w:r>
      <w:r>
        <w:rPr>
          <w:rFonts w:ascii="Times New Roman" w:hAnsi="Times New Roman" w:eastAsia="宋体"/>
          <w:b w:val="0"/>
          <w:sz w:val="28"/>
        </w:rPr>
        <w:t>凡关联交易，必须事先申报并回避表决；严禁向关联方输送利益、兼职取酬、干股代持。凡违者，一票否决，即予清退。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第十一条（两袖清风）</w:t>
      </w:r>
      <w:r>
        <w:rPr>
          <w:rFonts w:ascii="Times New Roman" w:hAnsi="Times New Roman" w:eastAsia="宋体"/>
          <w:b w:val="0"/>
          <w:sz w:val="28"/>
        </w:rPr>
        <w:t>凡从业者，不得收受合作方任何形式之回扣、贵重礼品、旅游宴请安排；不得向下属机构或合作方索拿卡要。凡违者，一经查实，即予清退；涉嫌违法者，移送司法机关。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第十二条（不欺暗室）</w:t>
      </w:r>
      <w:r>
        <w:rPr>
          <w:rFonts w:ascii="Times New Roman" w:hAnsi="Times New Roman" w:eastAsia="宋体"/>
          <w:b w:val="0"/>
          <w:sz w:val="28"/>
        </w:rPr>
        <w:t>不得利用项目内幕信息谋私；不得做通道、过账、壳交易等灰色业务；不得替任何第三方隐匿资金去向。凡违者，一经查实，即予清退；涉嫌违法者，移送司法机关。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第十三条（三缄其口）</w:t>
      </w:r>
      <w:r>
        <w:rPr>
          <w:rFonts w:ascii="Times New Roman" w:hAnsi="Times New Roman" w:eastAsia="宋体"/>
          <w:b w:val="0"/>
          <w:sz w:val="28"/>
        </w:rPr>
        <w:t>凡项目信息、合作方信息、政府对接信息，当分级管理，未经授权不得外泄，离职后仍受约束。凡违者，视情节追责；造成损失者，依法追偿。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第十四条（人而无信）</w:t>
      </w:r>
      <w:r>
        <w:rPr>
          <w:rFonts w:ascii="Times New Roman" w:hAnsi="Times New Roman" w:eastAsia="宋体"/>
          <w:b w:val="0"/>
          <w:sz w:val="28"/>
        </w:rPr>
        <w:t>凡对外承诺，必须兑现；预判无法兑现者，当提前如实说明。严禁画饼、虚报、瞒报——对客户、对政府、对伙伴，一体适用。凡严重失信者，调离核心岗位直至清退。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第三章 分级追责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第十五条（分级追责）</w:t>
      </w:r>
      <w:r>
        <w:rPr>
          <w:rFonts w:ascii="Times New Roman" w:hAnsi="Times New Roman" w:eastAsia="宋体"/>
          <w:b w:val="0"/>
          <w:sz w:val="28"/>
        </w:rPr>
        <w:t>红线刚性不变，追责当分清情形，按三档处理：</w:t>
      </w:r>
    </w:p>
    <w:p>
      <w:pPr>
        <w:spacing w:before="0" w:after="120"/>
        <w:ind w:left="567"/>
      </w:pPr>
      <w:r>
        <w:rPr>
          <w:rFonts w:ascii="Times New Roman" w:hAnsi="Times New Roman" w:eastAsia="宋体"/>
          <w:b w:val="0"/>
          <w:sz w:val="28"/>
        </w:rPr>
        <w:t>（一）甲类·无意过失：无主观故意、未造成损失或损失轻微，如流程不熟所致之程序瑕疵——予以警告，限期整改，书面检查；一年内再犯者，升乙类。</w:t>
      </w:r>
    </w:p>
    <w:p>
      <w:pPr>
        <w:spacing w:before="0" w:after="120"/>
        <w:ind w:left="567"/>
      </w:pPr>
      <w:r>
        <w:rPr>
          <w:rFonts w:ascii="Times New Roman" w:hAnsi="Times New Roman" w:eastAsia="宋体"/>
          <w:b w:val="0"/>
          <w:sz w:val="28"/>
        </w:rPr>
        <w:t>（二）乙类·主观违规：有主观故意，或已造成实际损失，如擅自决策、未申报之关联交易——停职核查，调离核心岗位直至清退，并依法追偿损失。</w:t>
      </w:r>
    </w:p>
    <w:p>
      <w:pPr>
        <w:spacing w:before="0" w:after="120"/>
        <w:ind w:left="567"/>
      </w:pPr>
      <w:r>
        <w:rPr>
          <w:rFonts w:ascii="Times New Roman" w:hAnsi="Times New Roman" w:eastAsia="宋体"/>
          <w:b w:val="0"/>
          <w:sz w:val="28"/>
        </w:rPr>
        <w:t>（三）丙类·违法牟利：涉嫌挪用资金、商业贿赂、内幕交易、职务侵占等违法犯罪行为——立即清退，移送司法机关，全额追偿，永不录用。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凡级别认定，由CEO办公会核查，当事人享有申辩权，认定结果书面留痕。财务、投资岗位触发红线者，一律从重处置。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第四章 附则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第十六条</w:t>
      </w:r>
      <w:r>
        <w:rPr>
          <w:rFonts w:ascii="Times New Roman" w:hAnsi="Times New Roman" w:eastAsia="宋体"/>
          <w:b w:val="0"/>
          <w:sz w:val="28"/>
        </w:rPr>
        <w:t xml:space="preserve"> 本红线由CEO办公会负责解释与修订，凡修订须书面留痕。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第十七条</w:t>
      </w:r>
      <w:r>
        <w:rPr>
          <w:rFonts w:ascii="Times New Roman" w:hAnsi="Times New Roman" w:eastAsia="宋体"/>
          <w:b w:val="0"/>
          <w:sz w:val="28"/>
        </w:rPr>
        <w:t xml:space="preserve"> 本红线为底线要求，不免除国家法律法规及行业监管规定之其他义务。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第十八条</w:t>
      </w:r>
      <w:r>
        <w:rPr>
          <w:rFonts w:ascii="Times New Roman" w:hAnsi="Times New Roman" w:eastAsia="宋体"/>
          <w:b w:val="0"/>
          <w:sz w:val="28"/>
        </w:rPr>
        <w:t xml:space="preserve"> 凡新员工入职，须签署知悉确认，每年重温签署一次。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第十九条</w:t>
      </w:r>
      <w:r>
        <w:rPr>
          <w:rFonts w:ascii="Times New Roman" w:hAnsi="Times New Roman" w:eastAsia="宋体"/>
          <w:b w:val="0"/>
          <w:sz w:val="28"/>
        </w:rPr>
        <w:t xml:space="preserve"> 本红线自签发之日起施行。</w:t>
      </w:r>
    </w:p>
    <w:p>
      <w:pPr>
        <w:spacing w:before="400"/>
      </w:pPr>
      <w:r>
        <w:rPr>
          <w:rFonts w:ascii="Times New Roman" w:hAnsi="Times New Roman" w:eastAsia="黑体"/>
          <w:b/>
          <w:color w:val="0F2440"/>
          <w:sz w:val="30"/>
        </w:rPr>
        <w:t>签发</w:t>
      </w:r>
    </w:p>
    <w:p>
      <w:r>
        <w:rPr>
          <w:rFonts w:ascii="Times New Roman" w:hAnsi="Times New Roman" w:eastAsia="宋体"/>
          <w:b w:val="0"/>
          <w:sz w:val="27"/>
        </w:rPr>
        <w:t>本文件经CEO办公会审议通过，自签发之日起施行。</w:t>
      </w:r>
    </w:p>
    <w:p>
      <w:r>
        <w:rPr>
          <w:rFonts w:ascii="Times New Roman" w:hAnsi="Times New Roman" w:eastAsia="宋体"/>
          <w:b w:val="0"/>
          <w:sz w:val="27"/>
        </w:rPr>
        <w:t>签发人（CEO）：＿＿＿＿＿＿＿＿＿＿　　签发日期：＿＿＿＿年＿＿月＿＿日</w:t>
      </w:r>
    </w:p>
    <w:p>
      <w:r>
        <w:rPr>
          <w:rFonts w:ascii="Times New Roman" w:hAnsi="Times New Roman" w:eastAsia="宋体"/>
          <w:b w:val="0"/>
          <w:color w:val="666666"/>
          <w:sz w:val="24"/>
        </w:rPr>
        <w:t>（加盖公司印章处）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