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黑体"/>
          <w:b/>
          <w:color w:val="0F2440"/>
          <w:sz w:val="44"/>
        </w:rPr>
        <w:t>恒通产融 · 风控十条红线</w:t>
      </w:r>
    </w:p>
    <w:p>
      <w:pPr>
        <w:jc w:val="center"/>
      </w:pPr>
      <w:r>
        <w:rPr>
          <w:rFonts w:ascii="Times New Roman" w:hAnsi="Times New Roman" w:eastAsia="黑体"/>
          <w:color w:val="9E1B1B"/>
          <w:sz w:val="24"/>
        </w:rPr>
        <w:t>——全员适用（含六位创始人），触线即查，不因职位豁免——</w:t>
      </w:r>
    </w:p>
    <w:p/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总则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产融行业天天和钱打交道，底线必须先于生意立起来。本红线是《恒通企业文化》正本的刚性配套：正本回答"我们相信什么"，本红线回答"我们绝不做什么"。凡恒通产融员工及业务合作人员，一体适用；凡触碰红线者，不论职位、不论贡献，立即停职核查，查实即清退，涉嫌违法的移送司法机关。财务、资金岗是风控第一道关口，所有红线条款，财务、资金人员优先执行、从严自查。</w:t>
      </w:r>
    </w:p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十条红线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7"/>
        <w:gridCol w:w="3097"/>
        <w:gridCol w:w="3097"/>
      </w:tblGrid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红线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释义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黑体"/>
                <w:b/>
                <w:sz w:val="25"/>
              </w:rPr>
              <w:t>触碰后果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一、能力圈之外不投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宋体"/>
                <w:sz w:val="24"/>
              </w:rPr>
              <w:t>看不懂的行业不投，算不清账的项目不碰。宁可错过，不可做错——错过是遗憾，做错是窟窿。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宋体"/>
                <w:color w:val="9E1B1B"/>
                <w:sz w:val="24"/>
              </w:rPr>
              <w:t>造成损失的，责任人承担相应责任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二、资金来源必须干净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宋体"/>
                <w:sz w:val="24"/>
              </w:rPr>
              <w:t>不碰非法集资，不设资金池，不挪用受托资金。任何一笔钱的来路，都必须合法、清晰、可追溯。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宋体"/>
                <w:color w:val="9E1B1B"/>
                <w:sz w:val="24"/>
              </w:rPr>
              <w:t>一票否决，立即清退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三、尽调不到底不决策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宋体"/>
                <w:sz w:val="24"/>
              </w:rPr>
              <w:t>项目未经完整尽调（资产真实、现金流真实、合同真实）不得上会。尽调造假或走过场，视同触线。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宋体"/>
                <w:color w:val="9E1B1B"/>
                <w:sz w:val="24"/>
              </w:rPr>
              <w:t>项目冻结，责任人停职核查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四、重大项目集体决策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宋体"/>
                <w:sz w:val="24"/>
              </w:rPr>
              <w:t>达到规定金额或风险等级的项目，必须经核心决策层集体审议、书面留痕，禁止个人擅断、先斩后奏。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宋体"/>
                <w:color w:val="9E1B1B"/>
                <w:sz w:val="24"/>
              </w:rPr>
              <w:t>决策无效，责任人承担全部后果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五、专款专用、独立账户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宋体"/>
                <w:sz w:val="24"/>
              </w:rPr>
              <w:t>项目资金封闭运行，严禁拆借挪用、"倒账"补洞。大额资金支付实行双人双签。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宋体"/>
                <w:color w:val="9E1B1B"/>
                <w:sz w:val="24"/>
              </w:rPr>
              <w:t>立即冻结权限，查实即清退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六、禁止利益输送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宋体"/>
                <w:sz w:val="24"/>
              </w:rPr>
              <w:t>关联交易必须事先申报并回避表决；禁止向关联方输送利益、兼职取酬、干股代持。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宋体"/>
                <w:color w:val="9E1B1B"/>
                <w:sz w:val="24"/>
              </w:rPr>
              <w:t>一票否决，立即清退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七、廉洁从业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宋体"/>
                <w:sz w:val="24"/>
              </w:rPr>
              <w:t>不得收受合作方任何形式的回扣、贵重礼品、旅游宴请安排；不得向下属机构或合作方索拿卡要。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宋体"/>
                <w:color w:val="9E1B1B"/>
                <w:sz w:val="24"/>
              </w:rPr>
              <w:t>查实即清退，涉嫌违法移送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八、禁止内幕交易与灰色业务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宋体"/>
                <w:sz w:val="24"/>
              </w:rPr>
              <w:t>不利用项目内幕信息谋私；不做通道、过账、壳交易等灰色业务；不替任何第三方隐匿资金去向。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宋体"/>
                <w:color w:val="9E1B1B"/>
                <w:sz w:val="24"/>
              </w:rPr>
              <w:t>查实即清退，涉嫌违法移送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九、信息保密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宋体"/>
                <w:sz w:val="24"/>
              </w:rPr>
              <w:t>项目信息、合作方信息、政府对接信息分级管理，未经授权不得外泄，离职后仍受约束。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宋体"/>
                <w:color w:val="9E1B1B"/>
                <w:sz w:val="24"/>
              </w:rPr>
              <w:t>视情节追责，造成损失依法追偿</w:t>
            </w:r>
          </w:p>
        </w:tc>
      </w:tr>
      <w:tr>
        <w:tc>
          <w:tcPr>
            <w:tcW w:type="dxa" w:w="204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十、信用即底线</w:t>
            </w:r>
          </w:p>
        </w:tc>
        <w:tc>
          <w:tcPr>
            <w:tcW w:type="dxa" w:w="4876"/>
          </w:tcPr>
          <w:p>
            <w:r>
              <w:rPr>
                <w:rFonts w:ascii="Times New Roman" w:hAnsi="Times New Roman" w:eastAsia="宋体"/>
                <w:sz w:val="24"/>
              </w:rPr>
              <w:t>对外承诺必须兑现；预判无法兑现的，提前如实说明。禁止画饼、虚报、瞒报——对客户、对政府、对伙伴，一样适用。</w:t>
            </w:r>
          </w:p>
        </w:tc>
        <w:tc>
          <w:tcPr>
            <w:tcW w:type="dxa" w:w="1814"/>
          </w:tcPr>
          <w:p>
            <w:r>
              <w:rPr>
                <w:rFonts w:ascii="Times New Roman" w:hAnsi="Times New Roman" w:eastAsia="宋体"/>
                <w:color w:val="9E1B1B"/>
                <w:sz w:val="24"/>
              </w:rPr>
              <w:t>严重失信者调离核心岗位直至清退</w:t>
            </w:r>
          </w:p>
        </w:tc>
      </w:tr>
    </w:tbl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分级追责细则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红线刚性不变，但追责须分清情形。按性质分三档处理，认定由CEO办公会核查，当事人享有申辩权，认定结果书面留痕。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97"/>
        <w:gridCol w:w="3097"/>
        <w:gridCol w:w="3097"/>
      </w:tblGrid>
      <w:tr>
        <w:tc>
          <w:tcPr>
            <w:tcW w:type="dxa" w:w="1928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档次</w:t>
            </w:r>
          </w:p>
        </w:tc>
        <w:tc>
          <w:tcPr>
            <w:tcW w:type="dxa" w:w="4082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情形</w:t>
            </w:r>
          </w:p>
        </w:tc>
        <w:tc>
          <w:tcPr>
            <w:tcW w:type="dxa" w:w="2721"/>
          </w:tcPr>
          <w:p>
            <w:r>
              <w:rPr>
                <w:rFonts w:ascii="Times New Roman" w:hAnsi="Times New Roman" w:eastAsia="黑体"/>
                <w:b/>
                <w:sz w:val="24"/>
              </w:rPr>
              <w:t>处理标准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宋体"/>
                <w:b/>
                <w:color w:val="9E1B1B"/>
                <w:sz w:val="24"/>
              </w:rPr>
              <w:t>甲类 · 无意过失</w:t>
            </w:r>
          </w:p>
        </w:tc>
        <w:tc>
          <w:tcPr>
            <w:tcW w:type="dxa" w:w="4082"/>
          </w:tcPr>
          <w:p>
            <w:r>
              <w:rPr>
                <w:rFonts w:ascii="Times New Roman" w:hAnsi="Times New Roman" w:eastAsia="宋体"/>
                <w:sz w:val="24"/>
              </w:rPr>
              <w:t>无主观故意、未造成损失或损失轻微，如流程不熟导致的程序瑕疵</w:t>
            </w:r>
          </w:p>
        </w:tc>
        <w:tc>
          <w:tcPr>
            <w:tcW w:type="dxa" w:w="2721"/>
          </w:tcPr>
          <w:p>
            <w:r>
              <w:rPr>
                <w:rFonts w:ascii="Times New Roman" w:hAnsi="Times New Roman" w:eastAsia="宋体"/>
                <w:sz w:val="24"/>
              </w:rPr>
              <w:t>警告+限期整改+书面检查；一年内再犯，升乙类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宋体"/>
                <w:b/>
                <w:color w:val="9E1B1B"/>
                <w:sz w:val="24"/>
              </w:rPr>
              <w:t>乙类 · 主观违规</w:t>
            </w:r>
          </w:p>
        </w:tc>
        <w:tc>
          <w:tcPr>
            <w:tcW w:type="dxa" w:w="4082"/>
          </w:tcPr>
          <w:p>
            <w:r>
              <w:rPr>
                <w:rFonts w:ascii="Times New Roman" w:hAnsi="Times New Roman" w:eastAsia="宋体"/>
                <w:sz w:val="24"/>
              </w:rPr>
              <w:t>有主观故意，或已造成实际损失，如擅自决策、未申报的关联交易</w:t>
            </w:r>
          </w:p>
        </w:tc>
        <w:tc>
          <w:tcPr>
            <w:tcW w:type="dxa" w:w="2721"/>
          </w:tcPr>
          <w:p>
            <w:r>
              <w:rPr>
                <w:rFonts w:ascii="Times New Roman" w:hAnsi="Times New Roman" w:eastAsia="宋体"/>
                <w:sz w:val="24"/>
              </w:rPr>
              <w:t>停职核查→调离核心岗位/清退，并依法追偿损失</w:t>
            </w:r>
          </w:p>
        </w:tc>
      </w:tr>
      <w:tr>
        <w:tc>
          <w:tcPr>
            <w:tcW w:type="dxa" w:w="1928"/>
          </w:tcPr>
          <w:p>
            <w:r>
              <w:rPr>
                <w:rFonts w:ascii="Times New Roman" w:hAnsi="Times New Roman" w:eastAsia="宋体"/>
                <w:b/>
                <w:color w:val="9E1B1B"/>
                <w:sz w:val="24"/>
              </w:rPr>
              <w:t>丙类 · 违法牟利</w:t>
            </w:r>
          </w:p>
        </w:tc>
        <w:tc>
          <w:tcPr>
            <w:tcW w:type="dxa" w:w="4082"/>
          </w:tcPr>
          <w:p>
            <w:r>
              <w:rPr>
                <w:rFonts w:ascii="Times New Roman" w:hAnsi="Times New Roman" w:eastAsia="宋体"/>
                <w:sz w:val="24"/>
              </w:rPr>
              <w:t>涉嫌挪用资金、商业贿赂、内幕交易、职务侵占等违法犯罪行为</w:t>
            </w:r>
          </w:p>
        </w:tc>
        <w:tc>
          <w:tcPr>
            <w:tcW w:type="dxa" w:w="2721"/>
          </w:tcPr>
          <w:p>
            <w:r>
              <w:rPr>
                <w:rFonts w:ascii="Times New Roman" w:hAnsi="Times New Roman" w:eastAsia="宋体"/>
                <w:sz w:val="24"/>
              </w:rPr>
              <w:t>立即清退+移送司法机关+全额追偿，永不录用</w:t>
            </w:r>
          </w:p>
        </w:tc>
      </w:tr>
    </w:tbl>
    <w:p/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财务、投资岗位触发红线，一律从重处置。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全公司财务、资金、风控、法务条线人员，由CEO统一指派管理；红线落地与违规处置复核，由CEO统筹安排对应负责人执行。</w:t>
      </w:r>
    </w:p>
    <w:p>
      <w:pPr>
        <w:spacing w:before="280" w:after="120"/>
      </w:pPr>
      <w:r>
        <w:rPr>
          <w:rFonts w:ascii="Times New Roman" w:hAnsi="Times New Roman" w:eastAsia="黑体"/>
          <w:b/>
          <w:color w:val="0F2440"/>
          <w:sz w:val="32"/>
        </w:rPr>
        <w:t>附则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一、本红线由CEO办公会负责解释与修订，修订须书面留痕。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二、本红线为底线要求，不免除国家法律法规及行业监管规定的其他义务。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三、新员工入职须签署知悉确认；每年重温签署一次。</w:t>
      </w:r>
    </w:p>
    <w:p>
      <w:pPr>
        <w:spacing w:line="360" w:lineRule="auto"/>
        <w:ind w:firstLine="560"/>
      </w:pPr>
      <w:r>
        <w:rPr>
          <w:rFonts w:ascii="Times New Roman" w:hAnsi="Times New Roman" w:eastAsia="宋体"/>
          <w:sz w:val="28"/>
        </w:rPr>
        <w:t>四、本红线自签发之日起施行。</w:t>
      </w:r>
    </w:p>
    <w:sectPr w:rsidR="00FC693F" w:rsidRPr="0006063C" w:rsidSect="00034616">
      <w:pgSz w:w="12240" w:h="15840"/>
      <w:pgMar w:top="1361" w:right="1474" w:bottom="1361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宋体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