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spacing w:before="0" w:after="120"/>
        <w:jc w:val="center"/>
      </w:pPr>
      <w:r>
        <w:rPr>
          <w:rFonts w:ascii="Times New Roman" w:hAnsi="Times New Roman" w:eastAsia="黑体"/>
          <w:b/>
          <w:color w:val="0F2440"/>
          <w:sz w:val="52"/>
        </w:rPr>
        <w:t>红线分级处置细则</w:t>
      </w:r>
    </w:p>
    <w:p>
      <w:pPr>
        <w:spacing w:before="0" w:after="120"/>
        <w:jc w:val="center"/>
      </w:pPr>
      <w:r>
        <w:rPr>
          <w:rFonts w:ascii="Times New Roman" w:hAnsi="Times New Roman" w:eastAsia="楷体"/>
          <w:b w:val="0"/>
          <w:color w:val="B8862D"/>
          <w:sz w:val="29"/>
        </w:rPr>
        <w:t>—— 《产融风控十条红线》配套执行文件 · 随红线一并签署 ——</w:t>
      </w:r>
    </w:p>
    <w:p/>
    <w:p>
      <w:pPr>
        <w:spacing w:before="0" w:after="120"/>
        <w:jc w:val="center"/>
      </w:pPr>
      <w:r>
        <w:rPr>
          <w:rFonts w:ascii="Times New Roman" w:hAnsi="Times New Roman" w:eastAsia="宋体"/>
          <w:b w:val="0"/>
          <w:color w:val="666666"/>
          <w:sz w:val="24"/>
        </w:rPr>
        <w:t>v5 · 文言版（七分文言 · 三分白话）· 股东审议版</w:t>
      </w:r>
    </w:p>
    <w:p>
      <w:pPr>
        <w:spacing w:before="0" w:after="120"/>
        <w:jc w:val="center"/>
      </w:pPr>
      <w:r>
        <w:rPr>
          <w:rFonts w:ascii="Times New Roman" w:hAnsi="Times New Roman" w:eastAsia="宋体"/>
          <w:b w:val="0"/>
          <w:color w:val="666666"/>
          <w:sz w:val="24"/>
        </w:rPr>
        <w:t>恒通产融控股 · 二〇二六年七月</w:t>
      </w:r>
    </w:p>
    <w:p>
      <w:r>
        <w:br w:type="page"/>
      </w:r>
    </w:p>
    <w:p>
      <w:pPr>
        <w:spacing w:before="320" w:after="240"/>
        <w:jc w:val="center"/>
      </w:pPr>
      <w:r>
        <w:rPr>
          <w:rFonts w:ascii="Times New Roman" w:hAnsi="Times New Roman" w:eastAsia="黑体"/>
          <w:b/>
          <w:color w:val="0F2440"/>
          <w:sz w:val="38"/>
        </w:rPr>
        <w:t>红线分级处置细则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第一条（定位）</w:t>
      </w:r>
      <w:r>
        <w:rPr>
          <w:rFonts w:ascii="Times New Roman" w:hAnsi="Times New Roman" w:eastAsia="宋体"/>
          <w:b w:val="0"/>
          <w:sz w:val="28"/>
        </w:rPr>
        <w:t>本细则乃《产融风控十条红线》之落地执行标准，须随红线一并签署。红线旨在明辨“绝不做什么”，本细则旨在明示“碰了之后怎么处理”。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第二条（一级·轻微过失）</w:t>
      </w:r>
      <w:r>
        <w:rPr>
          <w:rFonts w:ascii="Times New Roman" w:hAnsi="Times New Roman" w:eastAsia="宋体"/>
          <w:b w:val="0"/>
          <w:sz w:val="28"/>
        </w:rPr>
        <w:t>凡无心疏漏、无主观故意且未造成资金损失，如因流程不熟致生程序瑕疵者，当限期整改、呈书面检讨，并于部门内部通报；若一年内再犯，即升二级处置。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第三条（二级·重大违规）</w:t>
      </w:r>
      <w:r>
        <w:rPr>
          <w:rFonts w:ascii="Times New Roman" w:hAnsi="Times New Roman" w:eastAsia="宋体"/>
          <w:b w:val="0"/>
          <w:sz w:val="28"/>
        </w:rPr>
        <w:t>凡主观投机违规，或已造成实际损失，如擅自决策、未申报关联交易、规避资金管控者，当停职核查、扣减绩效、调离核心业务岗，并依法追偿其损失。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第四条（三级·违法牟利）</w:t>
      </w:r>
      <w:r>
        <w:rPr>
          <w:rFonts w:ascii="Times New Roman" w:hAnsi="Times New Roman" w:eastAsia="宋体"/>
          <w:b w:val="0"/>
          <w:sz w:val="28"/>
        </w:rPr>
        <w:t>凡涉利益输送、挪用资金、灰色通道、数据造假，涉嫌违法犯罪者，当即清退、移送司法机关、全额追偿，且永不录用。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第五条（从重情形）</w:t>
      </w:r>
      <w:r>
        <w:rPr>
          <w:rFonts w:ascii="Times New Roman" w:hAnsi="Times New Roman" w:eastAsia="宋体"/>
          <w:b w:val="0"/>
          <w:sz w:val="28"/>
        </w:rPr>
        <w:t>凡财务、投资岗位人员触发红线者，一律从重处置。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第六条（条线管理）</w:t>
      </w:r>
      <w:r>
        <w:rPr>
          <w:rFonts w:ascii="Times New Roman" w:hAnsi="Times New Roman" w:eastAsia="宋体"/>
          <w:b w:val="0"/>
          <w:sz w:val="28"/>
        </w:rPr>
        <w:t>全公司财务、资金、风控、法务条线人员，悉由CEO统一指派管理；凡红线落地与违规处置之复核，由CEO统筹安排对应负责人执行。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第七条（认定程序）</w:t>
      </w:r>
      <w:r>
        <w:rPr>
          <w:rFonts w:ascii="Times New Roman" w:hAnsi="Times New Roman" w:eastAsia="宋体"/>
          <w:b w:val="0"/>
          <w:sz w:val="28"/>
        </w:rPr>
        <w:t>凡违规级别，悉由CEO办公会核查认定；当事人享有申辩权，其认定结果须书面留痕。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第八条（权责隔离）</w:t>
      </w:r>
      <w:r>
        <w:rPr>
          <w:rFonts w:ascii="Times New Roman" w:hAnsi="Times New Roman" w:eastAsia="宋体"/>
          <w:b w:val="0"/>
          <w:sz w:val="28"/>
        </w:rPr>
        <w:t>财务、风控当独立分线设置，以实现业务与资金权责隔离，规避经营风险。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第九条（施行）</w:t>
      </w:r>
      <w:r>
        <w:rPr>
          <w:rFonts w:ascii="Times New Roman" w:hAnsi="Times New Roman" w:eastAsia="宋体"/>
          <w:b w:val="0"/>
          <w:sz w:val="28"/>
        </w:rPr>
        <w:t>本细则与《产融风控十条红线》同步施行，其解释权归CEO办公会。</w:t>
      </w:r>
    </w:p>
    <w:p>
      <w:pPr>
        <w:spacing w:before="400"/>
      </w:pPr>
      <w:r>
        <w:rPr>
          <w:rFonts w:ascii="Times New Roman" w:hAnsi="Times New Roman" w:eastAsia="黑体"/>
          <w:b/>
          <w:color w:val="0F2440"/>
          <w:sz w:val="30"/>
        </w:rPr>
        <w:t>签发</w:t>
      </w:r>
    </w:p>
    <w:p>
      <w:r>
        <w:rPr>
          <w:rFonts w:ascii="Times New Roman" w:hAnsi="Times New Roman" w:eastAsia="宋体"/>
          <w:b w:val="0"/>
          <w:sz w:val="27"/>
        </w:rPr>
        <w:t>本文件经CEO办公会审议通过，自签发之日起施行。</w:t>
      </w:r>
    </w:p>
    <w:p>
      <w:r>
        <w:rPr>
          <w:rFonts w:ascii="Times New Roman" w:hAnsi="Times New Roman" w:eastAsia="宋体"/>
          <w:b w:val="0"/>
          <w:sz w:val="27"/>
        </w:rPr>
        <w:t>签发人（CEO）：＿＿＿＿＿＿＿＿＿＿　　签发日期：＿＿＿＿年＿＿月＿＿日</w:t>
      </w:r>
    </w:p>
    <w:p>
      <w:r>
        <w:rPr>
          <w:rFonts w:ascii="Times New Roman" w:hAnsi="Times New Roman" w:eastAsia="宋体"/>
          <w:b w:val="0"/>
          <w:color w:val="666666"/>
          <w:sz w:val="24"/>
        </w:rPr>
        <w:t>（加盖公司印章处）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120"/>
    </w:pPr>
    <w:rPr>
      <w:rFonts w:ascii="Times New Roman" w:hAnsi="Times New Roman" w:eastAsia="宋体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