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红线分级处置细则</w:t>
      </w:r>
    </w:p>
    <w:p>
      <w:pPr>
        <w:jc w:val="center"/>
      </w:pPr>
      <w:r>
        <w:rPr>
          <w:rFonts w:ascii="Times New Roman" w:hAnsi="Times New Roman" w:eastAsia="楷体"/>
          <w:sz w:val="24"/>
        </w:rPr>
        <w:t>——《产融风控十条红线》配套执行文件，随红线一并签署——</w:t>
      </w:r>
    </w:p>
    <w:p/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本细则是《产融风控十条红线》的落地执行标准。红线回答"绝不做什么"，本细则回答"碰了之后怎么处理"。三级划分，全员与红线一并签署。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7"/>
        <w:gridCol w:w="3097"/>
        <w:gridCol w:w="3097"/>
      </w:tblGrid>
      <w:tr>
        <w:tc>
          <w:tcPr>
            <w:tcW w:type="dxa" w:w="1814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级别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情形认定</w:t>
            </w:r>
          </w:p>
        </w:tc>
        <w:tc>
          <w:tcPr>
            <w:tcW w:type="dxa" w:w="2948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处置标准</w:t>
            </w:r>
          </w:p>
        </w:tc>
      </w:tr>
      <w:tr>
        <w:tc>
          <w:tcPr>
            <w:tcW w:type="dxa" w:w="1814"/>
          </w:tcPr>
          <w:p>
            <w:r>
              <w:rPr>
                <w:rFonts w:ascii="Times New Roman" w:hAnsi="Times New Roman" w:eastAsia="宋体"/>
                <w:b/>
                <w:color w:val="9E1B1B"/>
                <w:sz w:val="24"/>
              </w:rPr>
              <w:t>一级 · 轻微过失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宋体"/>
                <w:sz w:val="24"/>
              </w:rPr>
              <w:t>无心疏漏、无主观故意、未造成资金损失，如流程不熟导致的程序瑕疵</w:t>
            </w:r>
          </w:p>
        </w:tc>
        <w:tc>
          <w:tcPr>
            <w:tcW w:type="dxa" w:w="2948"/>
          </w:tcPr>
          <w:p>
            <w:r>
              <w:rPr>
                <w:rFonts w:ascii="Times New Roman" w:hAnsi="Times New Roman" w:eastAsia="宋体"/>
                <w:sz w:val="24"/>
              </w:rPr>
              <w:t>限期整改、书面检讨、部门内部通报；一年内再犯，升二级</w:t>
            </w:r>
          </w:p>
        </w:tc>
      </w:tr>
      <w:tr>
        <w:tc>
          <w:tcPr>
            <w:tcW w:type="dxa" w:w="1814"/>
          </w:tcPr>
          <w:p>
            <w:r>
              <w:rPr>
                <w:rFonts w:ascii="Times New Roman" w:hAnsi="Times New Roman" w:eastAsia="宋体"/>
                <w:b/>
                <w:color w:val="9E1B1B"/>
                <w:sz w:val="24"/>
              </w:rPr>
              <w:t>二级 · 重大违规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宋体"/>
                <w:sz w:val="24"/>
              </w:rPr>
              <w:t>主观投机违规，或已造成实际损失，如擅自决策、未申报关联交易、规避资金管控</w:t>
            </w:r>
          </w:p>
        </w:tc>
        <w:tc>
          <w:tcPr>
            <w:tcW w:type="dxa" w:w="2948"/>
          </w:tcPr>
          <w:p>
            <w:r>
              <w:rPr>
                <w:rFonts w:ascii="Times New Roman" w:hAnsi="Times New Roman" w:eastAsia="宋体"/>
                <w:sz w:val="24"/>
              </w:rPr>
              <w:t>停岗核查、扣减绩效、调离核心业务岗，依法追偿损失</w:t>
            </w:r>
          </w:p>
        </w:tc>
      </w:tr>
      <w:tr>
        <w:tc>
          <w:tcPr>
            <w:tcW w:type="dxa" w:w="1814"/>
          </w:tcPr>
          <w:p>
            <w:r>
              <w:rPr>
                <w:rFonts w:ascii="Times New Roman" w:hAnsi="Times New Roman" w:eastAsia="宋体"/>
                <w:b/>
                <w:color w:val="9E1B1B"/>
                <w:sz w:val="24"/>
              </w:rPr>
              <w:t>三级 · 违法牟利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 w:eastAsia="宋体"/>
                <w:sz w:val="24"/>
              </w:rPr>
              <w:t>利益输送、挪用资金、灰色通道、数据造假，涉嫌违法犯罪</w:t>
            </w:r>
          </w:p>
        </w:tc>
        <w:tc>
          <w:tcPr>
            <w:tcW w:type="dxa" w:w="2948"/>
          </w:tcPr>
          <w:p>
            <w:r>
              <w:rPr>
                <w:rFonts w:ascii="Times New Roman" w:hAnsi="Times New Roman" w:eastAsia="宋体"/>
                <w:sz w:val="24"/>
              </w:rPr>
              <w:t>立即清退、移送司法机关、全额追偿，永不录用</w:t>
            </w:r>
          </w:p>
        </w:tc>
      </w:tr>
    </w:tbl>
    <w:p/>
    <w:p>
      <w:pPr>
        <w:spacing w:before="200"/>
      </w:pPr>
      <w:r>
        <w:rPr>
          <w:rFonts w:ascii="Times New Roman" w:hAnsi="Times New Roman" w:eastAsia="黑体"/>
          <w:b/>
          <w:color w:val="0F2440"/>
          <w:sz w:val="30"/>
        </w:rPr>
        <w:t>特别规定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一、财务、投资岗位人员触发红线，一律从重处置。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二、全公司财务、资金、风控、法务条线人员，由CEO统一指派管理；红线落地与违规处置复核，由CEO统筹安排对应负责人执行。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三、违规级别由CEO办公会核查认定，当事人享有申辩权，认定结果书面留痕。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四、财务、风控独立分线设置，实现业务与资金权责隔离，规避经营风险。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五、本细则与《产融风控十条红线》同步施行，解释权归CEO办公会。</w:t>
      </w:r>
    </w:p>
    <w:sectPr w:rsidR="00FC693F" w:rsidRPr="0006063C" w:rsidSect="00034616">
      <w:pgSz w:w="12240" w:h="15840"/>
      <w:pgMar w:top="1361" w:right="1474" w:bottom="136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