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370CA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连云港项目简述</w:t>
      </w:r>
    </w:p>
    <w:p w14:paraId="0E388CA7">
      <w:pPr>
        <w:spacing w:line="360" w:lineRule="auto"/>
        <w:rPr>
          <w:sz w:val="28"/>
          <w:szCs w:val="28"/>
        </w:rPr>
      </w:pPr>
    </w:p>
    <w:p w14:paraId="2E2BBE9F">
      <w:pPr>
        <w:spacing w:line="360" w:lineRule="auto"/>
        <w:rPr>
          <w:rFonts w:hint="default" w:eastAsia="宋体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一、项目来源</w:t>
      </w:r>
    </w:p>
    <w:p w14:paraId="78F24A0C">
      <w:pPr>
        <w:spacing w:line="360" w:lineRule="auto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经海南煜风</w:t>
      </w:r>
      <w:r>
        <w:rPr>
          <w:rFonts w:hint="eastAsia"/>
          <w:sz w:val="28"/>
          <w:szCs w:val="28"/>
        </w:rPr>
        <w:t>前期协调，立川科技公司于2026年1月在连云港市国家级产业园落地。立川科技是从事半导体、芯片设备的研发、生产、销售一体公司。市里置换2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0兆瓦陆上风电指标资源给到产业方。</w:t>
      </w:r>
      <w:r>
        <w:rPr>
          <w:rFonts w:hint="eastAsia"/>
          <w:sz w:val="28"/>
          <w:szCs w:val="28"/>
          <w:lang w:val="en-US" w:eastAsia="zh-CN"/>
        </w:rPr>
        <w:t xml:space="preserve">  产业方和政府已签订相关协议。详见：附件1：产业与政府相关协议。</w:t>
      </w:r>
    </w:p>
    <w:p w14:paraId="76028648">
      <w:pPr>
        <w:spacing w:line="360" w:lineRule="auto"/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产业进展：预计本月打桩完毕。</w:t>
      </w:r>
    </w:p>
    <w:p w14:paraId="6A87D0B6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二、规模及简介</w:t>
      </w:r>
    </w:p>
    <w:p w14:paraId="1BEAB811"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项目分三期，“甲方确认乙方完成项目首期全部桩基工程后五个工作日内， 配合乙方指定的风电开发公司办理配套50MW风电项目手续；在今年省有关主管部门下达风电指标到市的条件下，甲方积极向市申请获得200MW陆上风电指标，并在乙方完成项目首期全部主体工程后五个工作日内，甲方配合乙方指定的风电开发公司办理配套150MW风电项目手续；在乙方完成项目首期投资并竣工投产后五个工作日内，甲方配合乙方指定的风电开发公司办理配套50MW风电项目手续。”其中一期50MW为已有指标。</w:t>
      </w:r>
    </w:p>
    <w:p w14:paraId="013929EA">
      <w:pPr>
        <w:spacing w:line="360" w:lineRule="auto"/>
        <w:ind w:firstLine="562" w:firstLineChars="20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1、一期50MW</w:t>
      </w:r>
    </w:p>
    <w:p w14:paraId="5782751B">
      <w:pPr>
        <w:spacing w:line="360" w:lineRule="auto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本月打桩完毕即释放50MW指标。用地已落实，升压站及风机点位已确认。</w:t>
      </w:r>
    </w:p>
    <w:p w14:paraId="7525A061">
      <w:pPr>
        <w:spacing w:line="360" w:lineRule="auto"/>
        <w:ind w:firstLine="420" w:firstLineChars="20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76775" cy="382270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1129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60D87">
      <w:pPr>
        <w:spacing w:line="360" w:lineRule="auto"/>
        <w:ind w:firstLine="560" w:firstLineChars="200"/>
        <w:rPr>
          <w:rFonts w:hint="default" w:eastAsia="宋体" w:cs="Times New Roman"/>
          <w:sz w:val="28"/>
          <w:szCs w:val="28"/>
          <w:lang w:val="en-US" w:eastAsia="zh-CN"/>
        </w:rPr>
      </w:pPr>
      <w:r>
        <w:rPr>
          <w:rFonts w:hint="default" w:eastAsia="宋体" w:cs="Times New Roman"/>
          <w:sz w:val="28"/>
          <w:szCs w:val="28"/>
          <w:lang w:val="en-US" w:eastAsia="zh-CN"/>
        </w:rPr>
        <w:t>在现场空气密度条件下计算的发电量扣除尾流影响因素后，考虑综合修正系数为0</w:t>
      </w:r>
      <w:r>
        <w:rPr>
          <w:rFonts w:hint="eastAsia" w:eastAsia="宋体" w:cs="Times New Roman"/>
          <w:sz w:val="28"/>
          <w:szCs w:val="28"/>
          <w:lang w:val="en-US" w:eastAsia="zh-CN"/>
        </w:rPr>
        <w:t>.</w:t>
      </w:r>
      <w:r>
        <w:rPr>
          <w:rFonts w:hint="default" w:eastAsia="宋体" w:cs="Times New Roman"/>
          <w:sz w:val="28"/>
          <w:szCs w:val="28"/>
          <w:lang w:val="en-US" w:eastAsia="zh-CN"/>
        </w:rPr>
        <w:t>75。经计算，本风电场</w:t>
      </w:r>
      <w:r>
        <w:rPr>
          <w:rFonts w:hint="eastAsia" w:eastAsia="宋体" w:cs="Times New Roman"/>
          <w:sz w:val="28"/>
          <w:szCs w:val="28"/>
          <w:lang w:val="en-US" w:eastAsia="zh-CN"/>
        </w:rPr>
        <w:t>6</w:t>
      </w:r>
      <w:r>
        <w:rPr>
          <w:rFonts w:hint="default" w:eastAsia="宋体" w:cs="Times New Roman"/>
          <w:sz w:val="28"/>
          <w:szCs w:val="28"/>
          <w:lang w:val="en-US" w:eastAsia="zh-CN"/>
        </w:rPr>
        <w:t>台风机的年上网电量</w:t>
      </w:r>
      <w:r>
        <w:rPr>
          <w:rFonts w:hint="eastAsia" w:eastAsia="宋体" w:cs="Times New Roman"/>
          <w:sz w:val="28"/>
          <w:szCs w:val="28"/>
          <w:lang w:val="en-US" w:eastAsia="zh-CN"/>
        </w:rPr>
        <w:t>141192.675</w:t>
      </w:r>
      <w:r>
        <w:rPr>
          <w:rFonts w:hint="default" w:eastAsia="宋体" w:cs="Times New Roman"/>
          <w:sz w:val="28"/>
          <w:szCs w:val="28"/>
          <w:lang w:val="en-US" w:eastAsia="zh-CN"/>
        </w:rPr>
        <w:t>MWh，平均满发小时数为</w:t>
      </w:r>
      <w:r>
        <w:rPr>
          <w:rFonts w:hint="eastAsia" w:eastAsia="宋体" w:cs="Times New Roman"/>
          <w:sz w:val="28"/>
          <w:szCs w:val="28"/>
          <w:lang w:val="en-US" w:eastAsia="zh-CN"/>
        </w:rPr>
        <w:t>2821.14</w:t>
      </w:r>
      <w:r>
        <w:rPr>
          <w:rFonts w:hint="default" w:eastAsia="宋体" w:cs="Times New Roman"/>
          <w:sz w:val="28"/>
          <w:szCs w:val="28"/>
          <w:lang w:val="en-US" w:eastAsia="zh-CN"/>
        </w:rPr>
        <w:t>h。</w:t>
      </w:r>
    </w:p>
    <w:p w14:paraId="7C642807">
      <w:pPr>
        <w:spacing w:line="360" w:lineRule="auto"/>
        <w:ind w:firstLine="560" w:firstLineChars="200"/>
        <w:rPr>
          <w:rFonts w:hint="eastAsia" w:eastAsia="宋体" w:cs="Times New Roman"/>
          <w:sz w:val="28"/>
          <w:szCs w:val="28"/>
          <w:lang w:val="en-US" w:eastAsia="zh-CN"/>
        </w:rPr>
      </w:pPr>
      <w:r>
        <w:rPr>
          <w:rFonts w:hint="eastAsia" w:eastAsia="宋体" w:cs="Times New Roman"/>
          <w:sz w:val="28"/>
          <w:szCs w:val="28"/>
          <w:lang w:val="en-US" w:eastAsia="zh-CN"/>
        </w:rPr>
        <w:t>根据工程投资估算，工程固定资产静态投资为</w:t>
      </w:r>
      <w:r>
        <w:rPr>
          <w:rFonts w:hint="default" w:eastAsia="宋体" w:cs="Times New Roman"/>
          <w:sz w:val="28"/>
          <w:szCs w:val="28"/>
          <w:lang w:val="en-US" w:eastAsia="zh-CN"/>
        </w:rPr>
        <w:t>30188.11</w:t>
      </w:r>
      <w:r>
        <w:rPr>
          <w:rFonts w:hint="eastAsia" w:eastAsia="宋体" w:cs="Times New Roman"/>
          <w:sz w:val="28"/>
          <w:szCs w:val="28"/>
          <w:lang w:val="en-US" w:eastAsia="zh-CN"/>
        </w:rPr>
        <w:t>万元，建设期利息为426.16万元。单位千瓦静态投资为</w:t>
      </w:r>
      <w:r>
        <w:rPr>
          <w:rFonts w:hint="default" w:eastAsia="宋体" w:cs="Times New Roman"/>
          <w:sz w:val="28"/>
          <w:szCs w:val="28"/>
          <w:lang w:val="en-US" w:eastAsia="zh-CN"/>
        </w:rPr>
        <w:t>6037.62</w:t>
      </w:r>
      <w:r>
        <w:rPr>
          <w:rFonts w:hint="eastAsia" w:eastAsia="宋体" w:cs="Times New Roman"/>
          <w:sz w:val="28"/>
          <w:szCs w:val="28"/>
          <w:lang w:val="en-US" w:eastAsia="zh-CN"/>
        </w:rPr>
        <w:t>元/kW，单位千瓦动态投资为6121.85元/kW。</w:t>
      </w:r>
    </w:p>
    <w:p w14:paraId="54955268">
      <w:pPr>
        <w:spacing w:line="360" w:lineRule="auto"/>
        <w:ind w:firstLine="560" w:firstLineChars="200"/>
        <w:rPr>
          <w:rFonts w:hint="default" w:eastAsia="宋体" w:cs="Times New Roman"/>
          <w:sz w:val="28"/>
          <w:szCs w:val="28"/>
          <w:lang w:val="en-US" w:eastAsia="zh-CN"/>
        </w:rPr>
      </w:pPr>
      <w:r>
        <w:rPr>
          <w:rFonts w:hint="eastAsia" w:eastAsia="宋体" w:cs="Times New Roman"/>
          <w:sz w:val="28"/>
          <w:szCs w:val="28"/>
          <w:lang w:val="en-US" w:eastAsia="zh-CN"/>
        </w:rPr>
        <w:t>本项目按5%弃风，综合电价</w:t>
      </w:r>
      <w:r>
        <w:rPr>
          <w:rFonts w:hint="default" w:eastAsia="宋体" w:cs="Times New Roman"/>
          <w:sz w:val="28"/>
          <w:szCs w:val="28"/>
          <w:lang w:val="en-US" w:eastAsia="zh-CN"/>
        </w:rPr>
        <w:t>0.2672</w:t>
      </w:r>
      <w:r>
        <w:rPr>
          <w:rFonts w:hint="eastAsia" w:eastAsia="宋体" w:cs="Times New Roman"/>
          <w:sz w:val="28"/>
          <w:szCs w:val="28"/>
          <w:lang w:val="en-US" w:eastAsia="zh-CN"/>
        </w:rPr>
        <w:t>元</w:t>
      </w:r>
      <w:r>
        <w:rPr>
          <w:rFonts w:hint="default" w:eastAsia="宋体" w:cs="Times New Roman"/>
          <w:sz w:val="28"/>
          <w:szCs w:val="28"/>
          <w:lang w:val="en-US" w:eastAsia="zh-CN"/>
        </w:rPr>
        <w:t>/kWh</w:t>
      </w:r>
      <w:r>
        <w:rPr>
          <w:rFonts w:hint="eastAsia" w:eastAsia="宋体" w:cs="Times New Roman"/>
          <w:sz w:val="28"/>
          <w:szCs w:val="28"/>
          <w:lang w:val="en-US" w:eastAsia="zh-CN"/>
        </w:rPr>
        <w:t>进行财务评价得出：项目投资财务内部收益率为</w:t>
      </w:r>
      <w:r>
        <w:rPr>
          <w:rFonts w:hint="default" w:eastAsia="宋体" w:cs="Times New Roman"/>
          <w:sz w:val="28"/>
          <w:szCs w:val="28"/>
          <w:lang w:val="en-US" w:eastAsia="zh-CN"/>
        </w:rPr>
        <w:t>4.81</w:t>
      </w:r>
      <w:r>
        <w:rPr>
          <w:rFonts w:hint="eastAsia" w:eastAsia="宋体" w:cs="Times New Roman"/>
          <w:sz w:val="28"/>
          <w:szCs w:val="28"/>
          <w:lang w:val="en-US" w:eastAsia="zh-CN"/>
        </w:rPr>
        <w:t>%（税后，下同），资本金财务内部收益率为</w:t>
      </w:r>
      <w:r>
        <w:rPr>
          <w:rFonts w:hint="default" w:eastAsia="宋体" w:cs="Times New Roman"/>
          <w:sz w:val="28"/>
          <w:szCs w:val="28"/>
          <w:lang w:val="en-US" w:eastAsia="zh-CN"/>
        </w:rPr>
        <w:t>7.15</w:t>
      </w:r>
      <w:r>
        <w:rPr>
          <w:rFonts w:hint="eastAsia" w:eastAsia="宋体" w:cs="Times New Roman"/>
          <w:sz w:val="28"/>
          <w:szCs w:val="28"/>
          <w:lang w:val="en-US" w:eastAsia="zh-CN"/>
        </w:rPr>
        <w:t>%，投资回收期为</w:t>
      </w:r>
      <w:r>
        <w:rPr>
          <w:rFonts w:hint="default" w:eastAsia="宋体" w:cs="Times New Roman"/>
          <w:sz w:val="28"/>
          <w:szCs w:val="28"/>
          <w:lang w:val="en-US" w:eastAsia="zh-CN"/>
        </w:rPr>
        <w:t>13.4</w:t>
      </w:r>
      <w:r>
        <w:rPr>
          <w:rFonts w:hint="eastAsia" w:eastAsia="宋体" w:cs="Times New Roman"/>
          <w:sz w:val="28"/>
          <w:szCs w:val="28"/>
          <w:lang w:val="en-US" w:eastAsia="zh-CN"/>
        </w:rPr>
        <w:t>年，总投资收益率为</w:t>
      </w:r>
      <w:r>
        <w:rPr>
          <w:rFonts w:hint="default" w:eastAsia="宋体" w:cs="Times New Roman"/>
          <w:sz w:val="28"/>
          <w:szCs w:val="28"/>
          <w:lang w:val="en-US" w:eastAsia="zh-CN"/>
        </w:rPr>
        <w:t>2.95</w:t>
      </w:r>
      <w:r>
        <w:rPr>
          <w:rFonts w:hint="eastAsia" w:eastAsia="宋体" w:cs="Times New Roman"/>
          <w:sz w:val="28"/>
          <w:szCs w:val="28"/>
          <w:lang w:val="en-US" w:eastAsia="zh-CN"/>
        </w:rPr>
        <w:t>%，项目资本金净利润率为</w:t>
      </w:r>
      <w:r>
        <w:rPr>
          <w:rFonts w:hint="default" w:eastAsia="宋体" w:cs="Times New Roman"/>
          <w:sz w:val="28"/>
          <w:szCs w:val="28"/>
          <w:lang w:val="en-US" w:eastAsia="zh-CN"/>
        </w:rPr>
        <w:t>6.75</w:t>
      </w:r>
      <w:r>
        <w:rPr>
          <w:rFonts w:hint="eastAsia" w:eastAsia="宋体" w:cs="Times New Roman"/>
          <w:sz w:val="28"/>
          <w:szCs w:val="28"/>
          <w:lang w:val="en-US" w:eastAsia="zh-CN"/>
        </w:rPr>
        <w:t>%。</w:t>
      </w:r>
    </w:p>
    <w:p w14:paraId="660F8C9C">
      <w:pPr>
        <w:spacing w:line="360" w:lineRule="auto"/>
        <w:ind w:firstLine="562" w:firstLineChars="20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2、二期150MW及三期50MW</w:t>
      </w:r>
    </w:p>
    <w:p w14:paraId="266427A0">
      <w:pPr>
        <w:spacing w:line="360" w:lineRule="auto"/>
        <w:ind w:firstLine="560" w:firstLineChars="200"/>
        <w:rPr>
          <w:rFonts w:hint="default" w:eastAsia="宋体" w:cs="Times New Roman"/>
          <w:sz w:val="28"/>
          <w:szCs w:val="28"/>
          <w:lang w:val="en-US" w:eastAsia="zh-CN"/>
        </w:rPr>
      </w:pPr>
      <w:r>
        <w:rPr>
          <w:rFonts w:hint="eastAsia" w:eastAsia="宋体" w:cs="Times New Roman"/>
          <w:sz w:val="28"/>
          <w:szCs w:val="28"/>
          <w:lang w:val="en-US" w:eastAsia="zh-CN"/>
        </w:rPr>
        <w:t>二期及三期位于徐圩新区。点位未定，根据交流情况，位于海边滩涂地，根据相关资料测算，发电小时数为2500小时左右。</w:t>
      </w:r>
    </w:p>
    <w:p w14:paraId="2FFB675D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三、合作条件</w:t>
      </w:r>
    </w:p>
    <w:p w14:paraId="4F8B3808">
      <w:pPr>
        <w:spacing w:line="360" w:lineRule="auto"/>
        <w:ind w:firstLine="560" w:firstLineChars="200"/>
        <w:rPr>
          <w:rFonts w:hint="default" w:eastAsia="宋体" w:cs="Times New Roman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 w:eastAsia="宋体" w:cs="Times New Roman"/>
          <w:sz w:val="28"/>
          <w:szCs w:val="28"/>
          <w:lang w:val="en-US" w:eastAsia="zh-CN"/>
        </w:rPr>
        <w:t>出借</w:t>
      </w:r>
      <w:r>
        <w:rPr>
          <w:rFonts w:hint="eastAsia" w:eastAsia="宋体" w:cs="Times New Roman"/>
          <w:sz w:val="28"/>
          <w:szCs w:val="28"/>
        </w:rPr>
        <w:t>50万元</w:t>
      </w:r>
      <w:r>
        <w:rPr>
          <w:rFonts w:hint="eastAsia" w:eastAsia="宋体" w:cs="Times New Roman"/>
          <w:sz w:val="28"/>
          <w:szCs w:val="28"/>
          <w:lang w:val="en-US" w:eastAsia="zh-CN"/>
        </w:rPr>
        <w:t>给海南煜风。</w:t>
      </w:r>
    </w:p>
    <w:p w14:paraId="51446224">
      <w:pPr>
        <w:spacing w:line="360" w:lineRule="auto"/>
        <w:ind w:firstLine="560" w:firstLineChars="200"/>
        <w:rPr>
          <w:rFonts w:hint="default" w:eastAsia="宋体" w:cs="Times New Roman"/>
          <w:sz w:val="28"/>
          <w:szCs w:val="28"/>
          <w:lang w:val="en-US" w:eastAsia="zh-CN"/>
        </w:rPr>
      </w:pPr>
      <w:r>
        <w:rPr>
          <w:rFonts w:hint="eastAsia" w:eastAsia="宋体" w:cs="Times New Roman"/>
          <w:sz w:val="28"/>
          <w:szCs w:val="28"/>
          <w:lang w:val="en-US" w:eastAsia="zh-CN"/>
        </w:rPr>
        <w:t>2、</w:t>
      </w:r>
      <w:r>
        <w:rPr>
          <w:rFonts w:hint="eastAsia"/>
          <w:sz w:val="28"/>
          <w:szCs w:val="28"/>
        </w:rPr>
        <w:t>合作方出借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  <w:lang w:val="en-US" w:eastAsia="zh-CN"/>
        </w:rPr>
        <w:t>0</w:t>
      </w:r>
      <w:r>
        <w:rPr>
          <w:rFonts w:hint="eastAsia"/>
          <w:sz w:val="28"/>
          <w:szCs w:val="28"/>
        </w:rPr>
        <w:t>0万给立川科技公司，期限半年，立</w:t>
      </w:r>
      <w:r>
        <w:rPr>
          <w:rFonts w:hint="eastAsia" w:eastAsia="宋体" w:cs="Times New Roman"/>
          <w:sz w:val="28"/>
          <w:szCs w:val="28"/>
        </w:rPr>
        <w:t>川科技用无锡公司</w:t>
      </w:r>
      <w:r>
        <w:rPr>
          <w:rFonts w:hint="eastAsia" w:eastAsia="宋体" w:cs="Times New Roman"/>
          <w:sz w:val="28"/>
          <w:szCs w:val="28"/>
          <w:lang w:eastAsia="zh-CN"/>
        </w:rPr>
        <w:t>（</w:t>
      </w:r>
      <w:r>
        <w:rPr>
          <w:rFonts w:hint="eastAsia" w:eastAsia="宋体" w:cs="Times New Roman"/>
          <w:sz w:val="28"/>
          <w:szCs w:val="28"/>
          <w:lang w:val="en-US" w:eastAsia="zh-CN"/>
        </w:rPr>
        <w:t>总公司</w:t>
      </w:r>
      <w:r>
        <w:rPr>
          <w:rFonts w:hint="eastAsia" w:eastAsia="宋体" w:cs="Times New Roman"/>
          <w:sz w:val="28"/>
          <w:szCs w:val="28"/>
          <w:lang w:eastAsia="zh-CN"/>
        </w:rPr>
        <w:t>）</w:t>
      </w:r>
      <w:r>
        <w:rPr>
          <w:rFonts w:hint="eastAsia" w:eastAsia="宋体" w:cs="Times New Roman"/>
          <w:sz w:val="28"/>
          <w:szCs w:val="28"/>
        </w:rPr>
        <w:t>2%的股权以代持的形式质押，</w:t>
      </w:r>
      <w:bookmarkStart w:id="0" w:name="OLE_LINK4"/>
      <w:bookmarkStart w:id="1" w:name="OLE_LINK3"/>
      <w:r>
        <w:rPr>
          <w:rFonts w:hint="eastAsia" w:eastAsia="宋体" w:cs="Times New Roman"/>
          <w:sz w:val="28"/>
          <w:szCs w:val="28"/>
        </w:rPr>
        <w:t>保证本金安全</w:t>
      </w:r>
      <w:bookmarkEnd w:id="0"/>
      <w:bookmarkEnd w:id="1"/>
      <w:r>
        <w:rPr>
          <w:rFonts w:hint="eastAsia" w:eastAsia="宋体" w:cs="Times New Roman"/>
          <w:sz w:val="28"/>
          <w:szCs w:val="28"/>
        </w:rPr>
        <w:t>；</w:t>
      </w:r>
    </w:p>
    <w:p w14:paraId="0EB3CDA1">
      <w:pPr>
        <w:spacing w:line="360" w:lineRule="auto"/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3、出借方收益：协商。</w:t>
      </w:r>
      <w:bookmarkStart w:id="2" w:name="_GoBack"/>
      <w:bookmarkEnd w:id="2"/>
    </w:p>
    <w:p w14:paraId="52511C20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四、附件</w:t>
      </w:r>
    </w:p>
    <w:p w14:paraId="46C488CF">
      <w:pPr>
        <w:spacing w:line="360" w:lineRule="auto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附件1：产业与政府相关协议</w:t>
      </w:r>
    </w:p>
    <w:p w14:paraId="72A1EF27">
      <w:r>
        <w:rPr>
          <w:rFonts w:hint="eastAsia"/>
        </w:rPr>
        <w:drawing>
          <wp:inline distT="0" distB="0" distL="0" distR="0">
            <wp:extent cx="3792855" cy="4484370"/>
            <wp:effectExtent l="19050" t="0" r="0" b="0"/>
            <wp:docPr id="1" name="图片 1" descr="F:\新工作\孙楠\立川连云港\微信图片_20260201125742_14_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新工作\孙楠\立川连云港\微信图片_20260201125742_14_30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721100" cy="4572000"/>
            <wp:effectExtent l="19050" t="0" r="0" b="0"/>
            <wp:docPr id="2" name="图片 2" descr="F:\新工作\孙楠\立川连云港\微信图片_20260201125743_15_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新工作\孙楠\立川连云港\微信图片_20260201125743_15_30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62BBE0">
      <w:r>
        <w:rPr>
          <w:rFonts w:hint="eastAsia"/>
        </w:rPr>
        <w:t>产业方与政府签署的产业落地主合同</w:t>
      </w:r>
    </w:p>
    <w:p w14:paraId="0218FDA5"/>
    <w:p w14:paraId="1118ACC0">
      <w:r>
        <w:rPr>
          <w:rFonts w:hint="eastAsia"/>
        </w:rPr>
        <w:drawing>
          <wp:inline distT="0" distB="0" distL="0" distR="0">
            <wp:extent cx="4095115" cy="4556125"/>
            <wp:effectExtent l="19050" t="0" r="635" b="0"/>
            <wp:docPr id="3" name="图片 3" descr="F:\新工作\孙楠\立川连云港\微信图片_20260201125744_16_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新工作\孙楠\立川连云港\微信图片_20260201125744_16_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455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1770" cy="5048885"/>
            <wp:effectExtent l="19050" t="0" r="5080" b="0"/>
            <wp:docPr id="4" name="图片 4" descr="F:\新工作\孙楠\立川连云港\微信图片_20260201125745_17_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新工作\孙楠\立川连云港\微信图片_20260201125745_17_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04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7A1178">
      <w:pPr>
        <w:rPr>
          <w:rFonts w:hint="eastAsia"/>
        </w:rPr>
      </w:pPr>
    </w:p>
    <w:p w14:paraId="5CE6E4F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A9FD8EE">
      <w:pPr>
        <w:spacing w:line="360" w:lineRule="auto"/>
        <w:rPr>
          <w:rFonts w:hint="eastAsia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宋体" w:cs="Times New Roman"/>
          <w:b/>
          <w:bCs/>
          <w:sz w:val="28"/>
          <w:szCs w:val="28"/>
          <w:lang w:val="en-US" w:eastAsia="zh-CN"/>
        </w:rPr>
        <w:t>附件2：</w:t>
      </w:r>
    </w:p>
    <w:p w14:paraId="20CE7A69">
      <w:r>
        <w:rPr>
          <w:rFonts w:hint="eastAsia"/>
        </w:rPr>
        <w:drawing>
          <wp:inline distT="0" distB="0" distL="0" distR="0">
            <wp:extent cx="5263515" cy="7021195"/>
            <wp:effectExtent l="19050" t="0" r="0" b="0"/>
            <wp:docPr id="5" name="图片 5" descr="F:\新工作\孙楠\立川连云港\微信图片_20260201125912_20_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新工作\孙楠\立川连云港\微信图片_20260201125912_20_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3515" cy="7021195"/>
            <wp:effectExtent l="19050" t="0" r="0" b="0"/>
            <wp:docPr id="6" name="图片 6" descr="F:\新工作\孙楠\立川连云港\微信图片_20260201125913_21_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新工作\孙楠\立川连云港\微信图片_20260201125913_21_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6261FE">
      <w:r>
        <w:rPr>
          <w:rFonts w:hint="eastAsia"/>
          <w:lang w:val="en-US" w:eastAsia="zh-CN"/>
        </w:rPr>
        <w:t>海南煜风</w:t>
      </w:r>
      <w:r>
        <w:rPr>
          <w:rFonts w:hint="eastAsia"/>
        </w:rPr>
        <w:t>与产业方签署的具有排他性的独家支配权的条款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36ADC"/>
    <w:rsid w:val="00031D5C"/>
    <w:rsid w:val="0025218C"/>
    <w:rsid w:val="00283B81"/>
    <w:rsid w:val="00305929"/>
    <w:rsid w:val="004447AE"/>
    <w:rsid w:val="00496074"/>
    <w:rsid w:val="005124B8"/>
    <w:rsid w:val="00636ADC"/>
    <w:rsid w:val="009670B7"/>
    <w:rsid w:val="00A0655A"/>
    <w:rsid w:val="00A24FC4"/>
    <w:rsid w:val="00A561DA"/>
    <w:rsid w:val="00A63BA4"/>
    <w:rsid w:val="00B16CA0"/>
    <w:rsid w:val="00BA363E"/>
    <w:rsid w:val="00BA49AB"/>
    <w:rsid w:val="00D324E8"/>
    <w:rsid w:val="00D36957"/>
    <w:rsid w:val="00E41F94"/>
    <w:rsid w:val="00ED3B20"/>
    <w:rsid w:val="00F40A55"/>
    <w:rsid w:val="0200178D"/>
    <w:rsid w:val="18B62C8F"/>
    <w:rsid w:val="2965741A"/>
    <w:rsid w:val="31426A08"/>
    <w:rsid w:val="359066A9"/>
    <w:rsid w:val="49B62E33"/>
    <w:rsid w:val="4ADE2F2D"/>
    <w:rsid w:val="6401716E"/>
    <w:rsid w:val="6959514D"/>
    <w:rsid w:val="7E966332"/>
    <w:rsid w:val="7F2E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默认段落字体1"/>
    <w:qFormat/>
    <w:uiPriority w:val="0"/>
  </w:style>
  <w:style w:type="paragraph" w:customStyle="1" w:styleId="8">
    <w:name w:val="批注文字1"/>
    <w:basedOn w:val="1"/>
    <w:link w:val="9"/>
    <w:qFormat/>
    <w:uiPriority w:val="0"/>
    <w:pPr>
      <w:jc w:val="left"/>
    </w:pPr>
  </w:style>
  <w:style w:type="character" w:customStyle="1" w:styleId="9">
    <w:name w:val="批注文字 字符"/>
    <w:link w:val="8"/>
    <w:qFormat/>
    <w:uiPriority w:val="0"/>
    <w:rPr>
      <w:kern w:val="2"/>
      <w:sz w:val="21"/>
      <w:szCs w:val="24"/>
    </w:rPr>
  </w:style>
  <w:style w:type="paragraph" w:customStyle="1" w:styleId="10">
    <w:name w:val="批注框文本1"/>
    <w:basedOn w:val="1"/>
    <w:link w:val="11"/>
    <w:qFormat/>
    <w:uiPriority w:val="0"/>
    <w:rPr>
      <w:sz w:val="18"/>
      <w:szCs w:val="18"/>
    </w:rPr>
  </w:style>
  <w:style w:type="character" w:customStyle="1" w:styleId="11">
    <w:name w:val="批注框文本 字符"/>
    <w:link w:val="10"/>
    <w:uiPriority w:val="0"/>
    <w:rPr>
      <w:kern w:val="2"/>
      <w:sz w:val="18"/>
      <w:szCs w:val="18"/>
    </w:rPr>
  </w:style>
  <w:style w:type="paragraph" w:customStyle="1" w:styleId="12">
    <w:name w:val="页脚1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13">
    <w:name w:val="页眉1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4">
    <w:name w:val="页眉 字符"/>
    <w:link w:val="13"/>
    <w:qFormat/>
    <w:uiPriority w:val="0"/>
    <w:rPr>
      <w:kern w:val="2"/>
      <w:sz w:val="18"/>
      <w:szCs w:val="18"/>
    </w:rPr>
  </w:style>
  <w:style w:type="paragraph" w:customStyle="1" w:styleId="15">
    <w:name w:val="批注主题1"/>
    <w:basedOn w:val="8"/>
    <w:link w:val="16"/>
    <w:qFormat/>
    <w:uiPriority w:val="0"/>
    <w:rPr>
      <w:b/>
      <w:bCs/>
    </w:rPr>
  </w:style>
  <w:style w:type="character" w:customStyle="1" w:styleId="16">
    <w:name w:val="批注主题 字符"/>
    <w:link w:val="15"/>
    <w:qFormat/>
    <w:uiPriority w:val="0"/>
    <w:rPr>
      <w:b/>
      <w:bCs/>
      <w:kern w:val="2"/>
      <w:sz w:val="21"/>
      <w:szCs w:val="24"/>
    </w:rPr>
  </w:style>
  <w:style w:type="character" w:customStyle="1" w:styleId="17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  <w:style w:type="character" w:customStyle="1" w:styleId="18">
    <w:name w:val="页眉 Char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19">
    <w:name w:val="页脚 Char"/>
    <w:basedOn w:val="6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849</Words>
  <Characters>976</Characters>
  <Lines>3</Lines>
  <Paragraphs>1</Paragraphs>
  <TotalTime>20</TotalTime>
  <ScaleCrop>false</ScaleCrop>
  <LinksUpToDate>false</LinksUpToDate>
  <CharactersWithSpaces>979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2026-04-27T06:11:00Z</dcterms:created>
  <dc:creator>Administrator</dc:creator>
  <cp:lastModifiedBy>雪域高原</cp:lastModifiedBy>
  <dcterms:modified xsi:type="dcterms:W3CDTF">2026-07-20T16:14:26Z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eyJoZGlkIjoiZDIzMmQxNWNkMWJjOTllN2IwZDFkZTQwMWUyNDg5MDEiLCJ1c2VySWQiOiIyMjkxNTg2NDQifQ==</vt:lpwstr>
  </property>
  <property fmtid="{D5CDD505-2E9C-101B-9397-08002B2CF9AE}" pid="3" name="KSOProductBuildVer">
    <vt:lpwstr>2052-12.1.0.26375</vt:lpwstr>
  </property>
  <property fmtid="{D5CDD505-2E9C-101B-9397-08002B2CF9AE}" pid="4" name="ICV">
    <vt:lpwstr>9C1820252EFC499999F8D5D4AF47A412_12</vt:lpwstr>
  </property>
</Properties>
</file>